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3173" w14:textId="38F7B38E" w:rsidR="000713CA" w:rsidRDefault="0045160F" w:rsidP="00451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FIȘ</w:t>
      </w:r>
      <w:r w:rsidR="006C0C6B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A</w:t>
      </w:r>
      <w:r w:rsidR="00485C97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DE VERIFICARE A CRITERIILOR DE SELECȚIE</w:t>
      </w: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</w:p>
    <w:p w14:paraId="11B02F19" w14:textId="38E5A0AB" w:rsidR="001E6F23" w:rsidRDefault="001E6F23" w:rsidP="00451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Apel </w:t>
      </w:r>
      <w:r w:rsidR="008770C8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de selecție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2</w:t>
      </w:r>
    </w:p>
    <w:p w14:paraId="6FCB04EE" w14:textId="77777777" w:rsidR="0045160F" w:rsidRPr="00811FAF" w:rsidRDefault="0045160F" w:rsidP="00451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</w:p>
    <w:p w14:paraId="5A891DD6" w14:textId="77777777" w:rsidR="0045160F" w:rsidRPr="00811FAF" w:rsidRDefault="000713CA" w:rsidP="004F5F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Măsura 7</w:t>
      </w:r>
      <w:r w:rsidR="004F5FC0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.3</w:t>
      </w:r>
      <w:r w:rsidR="0045160F"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  <w:proofErr w:type="spellStart"/>
      <w:r w:rsidRPr="000713CA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I</w:t>
      </w:r>
      <w:r w:rsidR="004F5FC0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nvestiţii</w:t>
      </w:r>
      <w:proofErr w:type="spellEnd"/>
      <w:r w:rsidR="004F5FC0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pentru infrastructura de </w:t>
      </w:r>
      <w:proofErr w:type="spellStart"/>
      <w:r w:rsidR="004F5FC0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broadband</w:t>
      </w:r>
      <w:proofErr w:type="spellEnd"/>
    </w:p>
    <w:p w14:paraId="594A92DA" w14:textId="77777777" w:rsidR="0045160F" w:rsidRDefault="0045160F" w:rsidP="0045160F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14:paraId="1CF0958E" w14:textId="77777777" w:rsidR="0045160F" w:rsidRDefault="0045160F" w:rsidP="0045160F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14:paraId="54A632B0" w14:textId="77777777" w:rsidR="0045160F" w:rsidRDefault="0045160F" w:rsidP="0045160F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14:paraId="06F37C6F" w14:textId="77777777" w:rsidR="0045160F" w:rsidRDefault="0045160F" w:rsidP="0045160F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14:paraId="45F9506B" w14:textId="77777777" w:rsidR="0045160F" w:rsidRPr="00BB2132" w:rsidRDefault="0045160F" w:rsidP="0045160F">
      <w:pPr>
        <w:pStyle w:val="BodyText3"/>
        <w:jc w:val="left"/>
        <w:rPr>
          <w:sz w:val="24"/>
          <w:szCs w:val="24"/>
          <w:lang w:val="ro-RO"/>
        </w:rPr>
      </w:pPr>
      <w:proofErr w:type="spellStart"/>
      <w:r w:rsidRPr="00BB2132">
        <w:rPr>
          <w:sz w:val="24"/>
          <w:szCs w:val="24"/>
          <w:lang w:val="ro-RO"/>
        </w:rPr>
        <w:t>Informaţii</w:t>
      </w:r>
      <w:proofErr w:type="spellEnd"/>
      <w:r w:rsidRPr="00BB2132">
        <w:rPr>
          <w:sz w:val="24"/>
          <w:szCs w:val="24"/>
          <w:lang w:val="ro-RO"/>
        </w:rPr>
        <w:t xml:space="preserve"> generale obligatorii cu privire la solicitant</w:t>
      </w:r>
    </w:p>
    <w:p w14:paraId="088EE527" w14:textId="77777777"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</w:p>
    <w:p w14:paraId="6CF9B932" w14:textId="77777777"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Denumirea solicitantului</w:t>
      </w:r>
      <w:r>
        <w:rPr>
          <w:b w:val="0"/>
          <w:sz w:val="24"/>
          <w:szCs w:val="24"/>
          <w:lang w:val="ro-RO"/>
        </w:rPr>
        <w:t xml:space="preserve"> 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................................................................................................................</w:t>
      </w:r>
    </w:p>
    <w:p w14:paraId="43429D90" w14:textId="77777777" w:rsidR="0045160F" w:rsidRPr="00BB2132" w:rsidRDefault="0045160F" w:rsidP="0045160F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Statutul juridic</w:t>
      </w:r>
      <w:r w:rsidRPr="00BB2132">
        <w:rPr>
          <w:b w:val="0"/>
          <w:sz w:val="24"/>
          <w:szCs w:val="24"/>
          <w:lang w:val="ro-RO"/>
        </w:rPr>
        <w:t xml:space="preserve"> ………………………………………………………………..................</w:t>
      </w:r>
      <w:r>
        <w:rPr>
          <w:b w:val="0"/>
          <w:sz w:val="24"/>
          <w:szCs w:val="24"/>
          <w:lang w:val="ro-RO"/>
        </w:rPr>
        <w:t>..............</w:t>
      </w:r>
    </w:p>
    <w:p w14:paraId="6DA37474" w14:textId="77777777" w:rsidR="0045160F" w:rsidRPr="00BB2132" w:rsidRDefault="0045160F" w:rsidP="0045160F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Date personale (reprezentant legal)</w:t>
      </w:r>
    </w:p>
    <w:p w14:paraId="32B7697F" w14:textId="77777777"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Nume</w:t>
      </w:r>
      <w:r w:rsidRPr="00BB2132">
        <w:rPr>
          <w:b w:val="0"/>
          <w:sz w:val="24"/>
          <w:szCs w:val="24"/>
          <w:lang w:val="ro-RO"/>
        </w:rPr>
        <w:t>:……………………………………………………………………….....................</w:t>
      </w:r>
      <w:r>
        <w:rPr>
          <w:b w:val="0"/>
          <w:sz w:val="24"/>
          <w:szCs w:val="24"/>
          <w:lang w:val="ro-RO"/>
        </w:rPr>
        <w:t>...............</w:t>
      </w:r>
    </w:p>
    <w:p w14:paraId="41570195" w14:textId="77777777"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Prenume</w:t>
      </w:r>
      <w:r w:rsidRPr="00BB2132">
        <w:rPr>
          <w:b w:val="0"/>
          <w:sz w:val="24"/>
          <w:szCs w:val="24"/>
          <w:lang w:val="ro-RO"/>
        </w:rPr>
        <w:t>:……………...……………………………………………………............</w:t>
      </w:r>
      <w:r>
        <w:rPr>
          <w:b w:val="0"/>
          <w:sz w:val="24"/>
          <w:szCs w:val="24"/>
          <w:lang w:val="ro-RO"/>
        </w:rPr>
        <w:t>........................</w:t>
      </w:r>
    </w:p>
    <w:p w14:paraId="41E47FCE" w14:textId="77777777" w:rsidR="0045160F" w:rsidRPr="00BB2132" w:rsidRDefault="0045160F" w:rsidP="0045160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4"/>
          <w:szCs w:val="24"/>
          <w:lang w:val="ro-RO" w:eastAsia="fr-FR"/>
        </w:rPr>
      </w:pPr>
      <w:r w:rsidRPr="00BB2132"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  <w:t>CNP:</w:t>
      </w:r>
      <w:r w:rsidRPr="00BB2132">
        <w:rPr>
          <w:rFonts w:ascii="Times New Roman" w:hAnsi="Times New Roman" w:cs="Times New Roman"/>
          <w:bCs/>
          <w:sz w:val="24"/>
          <w:szCs w:val="24"/>
          <w:lang w:val="ro-RO" w:eastAsia="fr-FR"/>
        </w:rPr>
        <w:t xml:space="preserve"> ……................................................</w:t>
      </w:r>
    </w:p>
    <w:p w14:paraId="7607D108" w14:textId="77777777"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proofErr w:type="spellStart"/>
      <w:r w:rsidRPr="00BB2132">
        <w:rPr>
          <w:sz w:val="24"/>
          <w:szCs w:val="24"/>
          <w:lang w:val="ro-RO"/>
        </w:rPr>
        <w:t>Funcţia</w:t>
      </w:r>
      <w:proofErr w:type="spellEnd"/>
      <w:r w:rsidRPr="00BB2132">
        <w:rPr>
          <w:sz w:val="24"/>
          <w:szCs w:val="24"/>
          <w:lang w:val="ro-RO"/>
        </w:rPr>
        <w:t xml:space="preserve"> reprezentantului legal</w:t>
      </w:r>
      <w:r w:rsidRPr="00BB2132">
        <w:rPr>
          <w:b w:val="0"/>
          <w:sz w:val="24"/>
          <w:szCs w:val="24"/>
          <w:lang w:val="ro-RO"/>
        </w:rPr>
        <w:t xml:space="preserve"> :…………………………................................................</w:t>
      </w:r>
      <w:r>
        <w:rPr>
          <w:b w:val="0"/>
          <w:sz w:val="24"/>
          <w:szCs w:val="24"/>
          <w:lang w:val="ro-RO"/>
        </w:rPr>
        <w:t>...........</w:t>
      </w:r>
    </w:p>
    <w:p w14:paraId="24EB1FE3" w14:textId="77777777"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</w:p>
    <w:p w14:paraId="6B33043B" w14:textId="77777777"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Titlul </w:t>
      </w:r>
      <w:r w:rsidRPr="00BB2132">
        <w:rPr>
          <w:sz w:val="24"/>
          <w:szCs w:val="24"/>
          <w:lang w:val="ro-RO"/>
        </w:rPr>
        <w:t>proiectului</w:t>
      </w:r>
      <w:r w:rsidRPr="00BB2132">
        <w:rPr>
          <w:b w:val="0"/>
          <w:sz w:val="24"/>
          <w:szCs w:val="24"/>
          <w:lang w:val="ro-RO"/>
        </w:rPr>
        <w:t>………………………………………………………………….........</w:t>
      </w:r>
      <w:r>
        <w:rPr>
          <w:b w:val="0"/>
          <w:sz w:val="24"/>
          <w:szCs w:val="24"/>
          <w:lang w:val="ro-RO"/>
        </w:rPr>
        <w:t>.................</w:t>
      </w:r>
    </w:p>
    <w:p w14:paraId="1F363130" w14:textId="77777777"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it-IT"/>
        </w:rPr>
      </w:pPr>
      <w:r w:rsidRPr="00BB2132">
        <w:rPr>
          <w:sz w:val="24"/>
          <w:szCs w:val="24"/>
          <w:lang w:val="ro-RO"/>
        </w:rPr>
        <w:t>Obiectivul și tipul proiectului: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........................................................................................................</w:t>
      </w:r>
    </w:p>
    <w:p w14:paraId="7D09CBAF" w14:textId="77777777"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Amplasare(localitate)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.......................................................................................................................</w:t>
      </w:r>
    </w:p>
    <w:p w14:paraId="7BD80330" w14:textId="77777777" w:rsidR="0045160F" w:rsidRPr="00BB2132" w:rsidRDefault="0045160F" w:rsidP="0045160F">
      <w:pPr>
        <w:pStyle w:val="BodyText3"/>
        <w:tabs>
          <w:tab w:val="left" w:pos="6981"/>
        </w:tabs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Numărul apelului de selecție și data lansării 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</w:t>
      </w:r>
      <w:r w:rsidRPr="00BB2132">
        <w:rPr>
          <w:sz w:val="24"/>
          <w:szCs w:val="24"/>
          <w:lang w:val="ro-RO"/>
        </w:rPr>
        <w:tab/>
      </w:r>
    </w:p>
    <w:p w14:paraId="28FF4A24" w14:textId="77777777" w:rsidR="0045160F" w:rsidRPr="00BB2132" w:rsidRDefault="0045160F" w:rsidP="0045160F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Data înregistrării proiectului la GAL: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</w:t>
      </w:r>
    </w:p>
    <w:p w14:paraId="64CC0ABD" w14:textId="77777777" w:rsidR="006C0C6B" w:rsidRDefault="006C0C6B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02C4CF54" w14:textId="77777777" w:rsidR="00A10CB2" w:rsidRDefault="00A10CB2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535274C0" w14:textId="77777777" w:rsidR="00A10CB2" w:rsidRDefault="00A10CB2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1D55BC2D" w14:textId="77777777" w:rsidR="00A10CB2" w:rsidRDefault="00A10CB2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7D20CD55" w14:textId="77777777" w:rsidR="00A10CB2" w:rsidRDefault="00A10CB2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6E721E8D" w14:textId="77777777" w:rsidR="00A10CB2" w:rsidRDefault="00A10CB2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2B0AFDFC" w14:textId="77777777" w:rsidR="00A10CB2" w:rsidRDefault="00A10CB2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5FBE82A3" w14:textId="77777777" w:rsidR="00A10CB2" w:rsidRDefault="00A10CB2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2AA69C1B" w14:textId="77777777" w:rsidR="00A10CB2" w:rsidRDefault="00A10CB2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54BF7912" w14:textId="77777777" w:rsidR="00A10CB2" w:rsidRDefault="00A10CB2" w:rsidP="004516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</w:pPr>
    </w:p>
    <w:p w14:paraId="50948965" w14:textId="77777777" w:rsidR="00A10CB2" w:rsidRDefault="00A10CB2" w:rsidP="0045160F">
      <w:pPr>
        <w:rPr>
          <w:rFonts w:ascii="Times New Roman" w:hAnsi="Times New Roman" w:cs="Times New Roman"/>
          <w:sz w:val="24"/>
          <w:szCs w:val="24"/>
        </w:rPr>
      </w:pPr>
    </w:p>
    <w:p w14:paraId="055D72E2" w14:textId="77777777" w:rsidR="002F1108" w:rsidRPr="002F1108" w:rsidRDefault="002F1108" w:rsidP="002F110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lastRenderedPageBreak/>
        <w:t>În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funcție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investițiile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pe care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solicitantul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dorește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finanțeze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accesarea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măsurii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criteriile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selecție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diferă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D67CA12" w14:textId="11E069F2" w:rsidR="0045160F" w:rsidRPr="002F1108" w:rsidRDefault="002F1108" w:rsidP="002F1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08">
        <w:rPr>
          <w:rFonts w:ascii="Times New Roman" w:hAnsi="Times New Roman" w:cs="Times New Roman"/>
          <w:b/>
          <w:sz w:val="24"/>
          <w:szCs w:val="24"/>
        </w:rPr>
        <w:t>1.</w:t>
      </w:r>
      <w:r w:rsidRPr="002F110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tipurile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cheltuielile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eligibile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capitolului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punctele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a)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b),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punctajul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calculează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următoarelor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principii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criterii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selecţie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2916"/>
        <w:gridCol w:w="1016"/>
        <w:gridCol w:w="3987"/>
        <w:gridCol w:w="1528"/>
      </w:tblGrid>
      <w:tr w:rsidR="006E2D20" w:rsidRPr="00BC4B02" w14:paraId="3FA5D3EB" w14:textId="77777777" w:rsidTr="006E2D20">
        <w:tc>
          <w:tcPr>
            <w:tcW w:w="805" w:type="dxa"/>
          </w:tcPr>
          <w:p w14:paraId="41C00156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946" w:type="dxa"/>
          </w:tcPr>
          <w:p w14:paraId="7E001030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Criteriu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selecție</w:t>
            </w:r>
            <w:proofErr w:type="spellEnd"/>
          </w:p>
        </w:tc>
        <w:tc>
          <w:tcPr>
            <w:tcW w:w="966" w:type="dxa"/>
          </w:tcPr>
          <w:p w14:paraId="6379FA5F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4038" w:type="dxa"/>
          </w:tcPr>
          <w:p w14:paraId="5986EEF1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Modalitate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acordare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14:paraId="28898AFD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GAL</w:t>
            </w:r>
          </w:p>
        </w:tc>
      </w:tr>
      <w:tr w:rsidR="006E2D20" w:rsidRPr="00BC4B02" w14:paraId="79B786E2" w14:textId="77777777" w:rsidTr="006E2D20">
        <w:trPr>
          <w:trHeight w:val="1792"/>
        </w:trPr>
        <w:tc>
          <w:tcPr>
            <w:tcW w:w="805" w:type="dxa"/>
            <w:vMerge w:val="restart"/>
          </w:tcPr>
          <w:p w14:paraId="57BFA733" w14:textId="44593D48" w:rsidR="006E2D20" w:rsidRPr="00BC4B02" w:rsidRDefault="00203160" w:rsidP="006E2D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CS </w:t>
            </w:r>
            <w:r w:rsidR="006E2D20"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14:paraId="6E7E3EA5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Principiul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prioritizării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investițiilor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proofErr w:type="gram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deservesc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populația</w:t>
            </w:r>
            <w:proofErr w:type="spellEnd"/>
            <w:proofErr w:type="gram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unități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administrative </w:t>
            </w:r>
            <w:proofErr w:type="spell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teritoriale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indice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dezvoltare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locală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IDUL sub 55</w:t>
            </w:r>
          </w:p>
        </w:tc>
        <w:tc>
          <w:tcPr>
            <w:tcW w:w="966" w:type="dxa"/>
          </w:tcPr>
          <w:p w14:paraId="7C362817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20 p</w:t>
            </w:r>
          </w:p>
        </w:tc>
        <w:tc>
          <w:tcPr>
            <w:tcW w:w="4038" w:type="dxa"/>
          </w:tcPr>
          <w:p w14:paraId="44ACE6C7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14:paraId="381E33D7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461D4996" w14:textId="77777777" w:rsidTr="006E2D20">
        <w:tc>
          <w:tcPr>
            <w:tcW w:w="805" w:type="dxa"/>
            <w:vMerge/>
          </w:tcPr>
          <w:p w14:paraId="10BE8CC2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92A9D4E" w14:textId="77777777" w:rsidR="006E2D20" w:rsidRPr="00BC4B02" w:rsidRDefault="006E2D20" w:rsidP="006E2D20">
            <w:pPr>
              <w:numPr>
                <w:ilvl w:val="1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UAT-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uri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indice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dezvoltare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</w:t>
            </w:r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 IDUL sub 55</w:t>
            </w:r>
          </w:p>
        </w:tc>
        <w:tc>
          <w:tcPr>
            <w:tcW w:w="966" w:type="dxa"/>
          </w:tcPr>
          <w:p w14:paraId="72E1A754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20 p</w:t>
            </w:r>
          </w:p>
        </w:tc>
        <w:tc>
          <w:tcPr>
            <w:tcW w:w="4038" w:type="dxa"/>
          </w:tcPr>
          <w:p w14:paraId="55DD343B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socio‐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zonei</w:t>
            </w:r>
            <w:proofErr w:type="spellEnd"/>
          </w:p>
          <w:p w14:paraId="222998DF" w14:textId="77777777" w:rsidR="006E2D20" w:rsidRPr="00BC4B02" w:rsidRDefault="006E2D20" w:rsidP="00B81D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Se are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ierarhia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UAT-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urilor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potenţialul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socio‐economic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zonelor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rurale.Se</w:t>
            </w:r>
            <w:proofErr w:type="spellEnd"/>
            <w:proofErr w:type="gram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lua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indicele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locala.Vor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primi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comunele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care au IDUL sub 55 –</w:t>
            </w: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Anexei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 „</w:t>
            </w:r>
            <w:r w:rsidR="00B81D82"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D82"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Lista-UAT-</w:t>
            </w:r>
            <w:proofErr w:type="spellStart"/>
            <w:r w:rsidR="00B81D82"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urilor</w:t>
            </w:r>
            <w:proofErr w:type="spellEnd"/>
            <w:r w:rsidR="00B81D82"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B81D82"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valorile</w:t>
            </w:r>
            <w:proofErr w:type="spellEnd"/>
            <w:r w:rsidR="00B81D82"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IDUL </w:t>
            </w:r>
            <w:proofErr w:type="spellStart"/>
            <w:r w:rsidR="00B81D82"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corespunzatoare</w:t>
            </w:r>
            <w:proofErr w:type="spellEnd"/>
            <w:r w:rsidRPr="00BC4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”</w:t>
            </w:r>
            <w:r w:rsidR="00B81D82" w:rsidRPr="00BC4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41" w:type="dxa"/>
          </w:tcPr>
          <w:p w14:paraId="30DA69E5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C0" w:rsidRPr="00BC4B02" w14:paraId="563B1A64" w14:textId="77777777" w:rsidTr="00C31FC0">
        <w:tc>
          <w:tcPr>
            <w:tcW w:w="3751" w:type="dxa"/>
            <w:gridSpan w:val="2"/>
          </w:tcPr>
          <w:p w14:paraId="6C9CDFB3" w14:textId="77777777" w:rsidR="00EB7FC0" w:rsidRPr="00BC4B02" w:rsidRDefault="00EB7FC0" w:rsidP="00EB7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Justificarea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punctajului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acordat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CS 1</w:t>
            </w:r>
          </w:p>
        </w:tc>
        <w:tc>
          <w:tcPr>
            <w:tcW w:w="6545" w:type="dxa"/>
            <w:gridSpan w:val="3"/>
          </w:tcPr>
          <w:p w14:paraId="593EB88F" w14:textId="77777777" w:rsidR="00EB7FC0" w:rsidRPr="00BC4B02" w:rsidRDefault="00EB7FC0" w:rsidP="006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7F8C17B8" w14:textId="77777777" w:rsidTr="006E2D20">
        <w:trPr>
          <w:trHeight w:val="1005"/>
        </w:trPr>
        <w:tc>
          <w:tcPr>
            <w:tcW w:w="805" w:type="dxa"/>
            <w:vMerge w:val="restart"/>
          </w:tcPr>
          <w:p w14:paraId="3470635E" w14:textId="1D6430CB" w:rsidR="006E2D20" w:rsidRPr="00BC4B02" w:rsidRDefault="0020316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 2</w:t>
            </w:r>
          </w:p>
        </w:tc>
        <w:tc>
          <w:tcPr>
            <w:tcW w:w="2946" w:type="dxa"/>
          </w:tcPr>
          <w:p w14:paraId="56A0DC59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Principiul gradului de deservire a populației, inclusiv potențialul turistic al localității rurale</w:t>
            </w:r>
          </w:p>
        </w:tc>
        <w:tc>
          <w:tcPr>
            <w:tcW w:w="966" w:type="dxa"/>
          </w:tcPr>
          <w:p w14:paraId="74321BF2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30 p</w:t>
            </w:r>
          </w:p>
        </w:tc>
        <w:tc>
          <w:tcPr>
            <w:tcW w:w="4038" w:type="dxa"/>
          </w:tcPr>
          <w:p w14:paraId="4166F60B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5F9E9D3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19E8B785" w14:textId="77777777" w:rsidTr="006E2D20">
        <w:trPr>
          <w:trHeight w:val="1214"/>
        </w:trPr>
        <w:tc>
          <w:tcPr>
            <w:tcW w:w="805" w:type="dxa"/>
            <w:vMerge/>
          </w:tcPr>
          <w:p w14:paraId="3C76E667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3871E14C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2.1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Proiecte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deservesc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UAT-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uri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 o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populație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cât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mare </w:t>
            </w:r>
          </w:p>
          <w:p w14:paraId="03DCFF53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B70B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DE9FB10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30 p</w:t>
            </w:r>
          </w:p>
        </w:tc>
        <w:tc>
          <w:tcPr>
            <w:tcW w:w="4038" w:type="dxa"/>
            <w:vMerge w:val="restart"/>
          </w:tcPr>
          <w:p w14:paraId="34515507" w14:textId="78CFF402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locuitori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 </w:t>
            </w:r>
            <w:r w:rsidR="00AB1691"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UAT-</w:t>
            </w:r>
            <w:proofErr w:type="spellStart"/>
            <w:r w:rsidR="00AB1691"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ului</w:t>
            </w:r>
            <w:proofErr w:type="spellEnd"/>
          </w:p>
          <w:p w14:paraId="2F37BA92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Numărul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total al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populaţiei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UAT -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ului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raza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căruia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realiza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investiţia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este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Rezultatului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final al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recensământului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populaţiei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locuinţelor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anul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2011 ‐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Tabelul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nr.3 „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Populaţia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stabilă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sexe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grupe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vârstă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‐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judeţe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municipii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oraşe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comune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”, (se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consulta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coloana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nr.1),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Anexa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541" w:type="dxa"/>
          </w:tcPr>
          <w:p w14:paraId="07FD4264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07A4C386" w14:textId="77777777" w:rsidTr="006E2D20">
        <w:trPr>
          <w:trHeight w:val="497"/>
        </w:trPr>
        <w:tc>
          <w:tcPr>
            <w:tcW w:w="805" w:type="dxa"/>
            <w:vMerge/>
          </w:tcPr>
          <w:p w14:paraId="0FD51DD8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DE6A79B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 </w:t>
            </w:r>
          </w:p>
        </w:tc>
        <w:tc>
          <w:tcPr>
            <w:tcW w:w="966" w:type="dxa"/>
          </w:tcPr>
          <w:p w14:paraId="14B8D1BC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30 p</w:t>
            </w:r>
          </w:p>
        </w:tc>
        <w:tc>
          <w:tcPr>
            <w:tcW w:w="4038" w:type="dxa"/>
            <w:vMerge/>
          </w:tcPr>
          <w:p w14:paraId="1152C67B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F952477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38CC09DD" w14:textId="77777777" w:rsidTr="006E2D20">
        <w:trPr>
          <w:trHeight w:val="399"/>
        </w:trPr>
        <w:tc>
          <w:tcPr>
            <w:tcW w:w="805" w:type="dxa"/>
            <w:vMerge/>
          </w:tcPr>
          <w:p w14:paraId="56ED9A6F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44A7B59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3000 – 4.999 </w:t>
            </w:r>
          </w:p>
        </w:tc>
        <w:tc>
          <w:tcPr>
            <w:tcW w:w="966" w:type="dxa"/>
          </w:tcPr>
          <w:p w14:paraId="686AFC2B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25 p</w:t>
            </w:r>
          </w:p>
        </w:tc>
        <w:tc>
          <w:tcPr>
            <w:tcW w:w="4038" w:type="dxa"/>
            <w:vMerge/>
          </w:tcPr>
          <w:p w14:paraId="6B58DAC1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ACD15D9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3EDCD50D" w14:textId="77777777" w:rsidTr="006E2D20">
        <w:trPr>
          <w:trHeight w:val="444"/>
        </w:trPr>
        <w:tc>
          <w:tcPr>
            <w:tcW w:w="805" w:type="dxa"/>
            <w:vMerge/>
          </w:tcPr>
          <w:p w14:paraId="06A32992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3C7E880D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 – 2.999</w:t>
            </w:r>
          </w:p>
        </w:tc>
        <w:tc>
          <w:tcPr>
            <w:tcW w:w="966" w:type="dxa"/>
          </w:tcPr>
          <w:p w14:paraId="5D363589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20 p</w:t>
            </w:r>
          </w:p>
        </w:tc>
        <w:tc>
          <w:tcPr>
            <w:tcW w:w="4038" w:type="dxa"/>
            <w:vMerge/>
          </w:tcPr>
          <w:p w14:paraId="03B0A84F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B358284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C0" w:rsidRPr="00BC4B02" w14:paraId="1FB0EC51" w14:textId="77777777" w:rsidTr="00FF20E1">
        <w:trPr>
          <w:trHeight w:val="444"/>
        </w:trPr>
        <w:tc>
          <w:tcPr>
            <w:tcW w:w="3751" w:type="dxa"/>
            <w:gridSpan w:val="2"/>
          </w:tcPr>
          <w:p w14:paraId="38E6180F" w14:textId="45DA2626" w:rsidR="00EB7FC0" w:rsidRPr="00BC4B02" w:rsidRDefault="00EB7FC0" w:rsidP="00EB7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Justificarea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punctajului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acordat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</w:t>
            </w:r>
            <w:r w:rsid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CS 2</w:t>
            </w:r>
          </w:p>
        </w:tc>
        <w:tc>
          <w:tcPr>
            <w:tcW w:w="6545" w:type="dxa"/>
            <w:gridSpan w:val="3"/>
          </w:tcPr>
          <w:p w14:paraId="6E35C419" w14:textId="77777777" w:rsidR="00EB7FC0" w:rsidRPr="00BC4B02" w:rsidRDefault="00EB7FC0" w:rsidP="00EB7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74F5D1D2" w14:textId="77777777" w:rsidTr="006E2D20">
        <w:trPr>
          <w:trHeight w:val="444"/>
        </w:trPr>
        <w:tc>
          <w:tcPr>
            <w:tcW w:w="805" w:type="dxa"/>
            <w:vMerge w:val="restart"/>
          </w:tcPr>
          <w:p w14:paraId="6166B55E" w14:textId="3F77BADE" w:rsidR="006E2D20" w:rsidRPr="00BC4B02" w:rsidRDefault="00203160" w:rsidP="006E2D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 3</w:t>
            </w:r>
          </w:p>
        </w:tc>
        <w:tc>
          <w:tcPr>
            <w:tcW w:w="2946" w:type="dxa"/>
          </w:tcPr>
          <w:p w14:paraId="3C48BE1A" w14:textId="77777777" w:rsidR="006E2D20" w:rsidRPr="00BC4B02" w:rsidRDefault="006E2D20" w:rsidP="00C927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Principiul gradului de deservire a populației, inclusiv potențialul turistic al localității rurale</w:t>
            </w:r>
          </w:p>
        </w:tc>
        <w:tc>
          <w:tcPr>
            <w:tcW w:w="966" w:type="dxa"/>
          </w:tcPr>
          <w:p w14:paraId="4DB1B4F3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14:paraId="3577AF63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B902C06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3E3B2132" w14:textId="77777777" w:rsidTr="006E2D20">
        <w:trPr>
          <w:trHeight w:val="150"/>
        </w:trPr>
        <w:tc>
          <w:tcPr>
            <w:tcW w:w="805" w:type="dxa"/>
            <w:vMerge/>
          </w:tcPr>
          <w:p w14:paraId="157F57DB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515A3C0F" w14:textId="77777777" w:rsidR="006E2D20" w:rsidRPr="00BC4B02" w:rsidRDefault="006E2D20" w:rsidP="00C927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Prioritizarea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investițiilor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introduc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dezvoltă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rețele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broadband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zonele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potențial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turistic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ridicat</w:t>
            </w:r>
            <w:proofErr w:type="spellEnd"/>
          </w:p>
          <w:p w14:paraId="0DBEDA94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D40C0C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ADF0F9B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Max.  20 p</w:t>
            </w:r>
          </w:p>
        </w:tc>
        <w:tc>
          <w:tcPr>
            <w:tcW w:w="4038" w:type="dxa"/>
          </w:tcPr>
          <w:p w14:paraId="5A66B933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acordă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UAT-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urilor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care au potential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turistic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ridicat.Verificarea</w:t>
            </w:r>
            <w:proofErr w:type="spellEnd"/>
            <w:proofErr w:type="gram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face conform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Anexei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– Lista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zonelor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cu potential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turistic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ridicat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BB82A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acestui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criteriu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calculează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investiției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534E68B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UAT-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din Gal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Tovishat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fi de max. 20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7D40AE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UAT 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calcula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aplicându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-se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următoarea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formulă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527396B" w14:textId="77777777" w:rsidR="006E2D20" w:rsidRPr="00BC4B02" w:rsidRDefault="004C3F7C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Cmrt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*20 /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max. </w:t>
            </w:r>
            <w:proofErr w:type="spellStart"/>
            <w:r w:rsidR="006E2D20" w:rsidRPr="00BC4B02">
              <w:rPr>
                <w:rFonts w:ascii="Times New Roman" w:hAnsi="Times New Roman" w:cs="Times New Roman"/>
                <w:sz w:val="24"/>
                <w:szCs w:val="24"/>
              </w:rPr>
              <w:t>Cmrt</w:t>
            </w:r>
            <w:proofErr w:type="spellEnd"/>
            <w:r w:rsidR="006E2D20"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6E2D20" w:rsidRPr="00BC4B02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="006E2D20"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final (cu </w:t>
            </w:r>
            <w:proofErr w:type="spellStart"/>
            <w:r w:rsidR="006E2D20" w:rsidRPr="00BC4B02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="006E2D20"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D20" w:rsidRPr="00BC4B02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="006E2D20"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CD2680E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Cmrt-Concentrare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mare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turistice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EEC50A" w14:textId="77777777" w:rsidR="006E2D20" w:rsidRPr="00BC4B02" w:rsidRDefault="006E2D20" w:rsidP="006E2D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Notă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maxim al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Cmrt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comunelor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potențial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turistic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din Gal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Tovishat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de 31.5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1" w:type="dxa"/>
          </w:tcPr>
          <w:p w14:paraId="6909F64F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C0" w:rsidRPr="00BC4B02" w14:paraId="59A856EF" w14:textId="77777777" w:rsidTr="000505C6">
        <w:trPr>
          <w:trHeight w:val="150"/>
        </w:trPr>
        <w:tc>
          <w:tcPr>
            <w:tcW w:w="3751" w:type="dxa"/>
            <w:gridSpan w:val="2"/>
          </w:tcPr>
          <w:p w14:paraId="7D755599" w14:textId="77777777" w:rsidR="00EB7FC0" w:rsidRPr="00BC4B02" w:rsidRDefault="00EB7FC0" w:rsidP="00C92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Justificarea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punctajului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acordat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CS 3</w:t>
            </w:r>
          </w:p>
        </w:tc>
        <w:tc>
          <w:tcPr>
            <w:tcW w:w="6545" w:type="dxa"/>
            <w:gridSpan w:val="3"/>
          </w:tcPr>
          <w:p w14:paraId="1961D801" w14:textId="77777777" w:rsidR="00EB7FC0" w:rsidRPr="00BC4B02" w:rsidRDefault="00EB7FC0" w:rsidP="006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39FAA09E" w14:textId="77777777" w:rsidTr="006E2D20">
        <w:trPr>
          <w:trHeight w:val="1164"/>
        </w:trPr>
        <w:tc>
          <w:tcPr>
            <w:tcW w:w="805" w:type="dxa"/>
            <w:vMerge w:val="restart"/>
          </w:tcPr>
          <w:p w14:paraId="2A1BEDFC" w14:textId="5CA35CCB" w:rsidR="006E2D20" w:rsidRPr="00BC4B02" w:rsidRDefault="00203160" w:rsidP="006E2D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CS 4 </w:t>
            </w:r>
          </w:p>
        </w:tc>
        <w:tc>
          <w:tcPr>
            <w:tcW w:w="2946" w:type="dxa"/>
          </w:tcPr>
          <w:p w14:paraId="0C85AA40" w14:textId="77777777" w:rsidR="006E2D20" w:rsidRPr="00BC4B02" w:rsidRDefault="006E2D20" w:rsidP="00C927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Principiul </w:t>
            </w: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prioritizării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proiectelor a căror soluție tehnică oferă cea mai mare viteză de transfer a datelor pentru utilizatorul final</w:t>
            </w:r>
          </w:p>
        </w:tc>
        <w:tc>
          <w:tcPr>
            <w:tcW w:w="966" w:type="dxa"/>
          </w:tcPr>
          <w:p w14:paraId="7EE11A95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30 p</w:t>
            </w:r>
          </w:p>
        </w:tc>
        <w:tc>
          <w:tcPr>
            <w:tcW w:w="4038" w:type="dxa"/>
          </w:tcPr>
          <w:p w14:paraId="1CC5D552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14:paraId="6C9562C2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08C0F230" w14:textId="77777777" w:rsidTr="006E2D20">
        <w:trPr>
          <w:trHeight w:val="803"/>
        </w:trPr>
        <w:tc>
          <w:tcPr>
            <w:tcW w:w="805" w:type="dxa"/>
            <w:vMerge/>
          </w:tcPr>
          <w:p w14:paraId="5EF095DA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EB1BED6" w14:textId="77777777" w:rsidR="006E2D20" w:rsidRPr="00BC4B02" w:rsidRDefault="006E2D20" w:rsidP="00C927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căror soluție tehnică oferă cea mai mare viteză de transfer a datelor pentru utilizatorul final</w:t>
            </w:r>
          </w:p>
        </w:tc>
        <w:tc>
          <w:tcPr>
            <w:tcW w:w="966" w:type="dxa"/>
          </w:tcPr>
          <w:p w14:paraId="13F2EE23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 w:val="restart"/>
          </w:tcPr>
          <w:p w14:paraId="69A678BF" w14:textId="77777777" w:rsidR="006E2D20" w:rsidRPr="00BC4B02" w:rsidRDefault="006E2D20" w:rsidP="00C927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verifică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viteza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transfer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prevăzută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documentația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repectiv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Studiu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fezabilitate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Memoriu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justificativ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INSCC</w:t>
            </w:r>
          </w:p>
        </w:tc>
        <w:tc>
          <w:tcPr>
            <w:tcW w:w="1541" w:type="dxa"/>
          </w:tcPr>
          <w:p w14:paraId="327334E5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77D7048F" w14:textId="77777777" w:rsidTr="006E2D20">
        <w:trPr>
          <w:trHeight w:val="369"/>
        </w:trPr>
        <w:tc>
          <w:tcPr>
            <w:tcW w:w="805" w:type="dxa"/>
            <w:vMerge/>
          </w:tcPr>
          <w:p w14:paraId="6D17C95E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4950240" w14:textId="77777777" w:rsidR="006E2D20" w:rsidRPr="00BC4B02" w:rsidRDefault="006E2D20" w:rsidP="00C927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Viteză de transfer peste 100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Mbs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66" w:type="dxa"/>
          </w:tcPr>
          <w:p w14:paraId="238428B2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30 p</w:t>
            </w:r>
          </w:p>
        </w:tc>
        <w:tc>
          <w:tcPr>
            <w:tcW w:w="4038" w:type="dxa"/>
            <w:vMerge/>
          </w:tcPr>
          <w:p w14:paraId="2019E72B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CC6206F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4B62EEFB" w14:textId="77777777" w:rsidTr="006E2D20">
        <w:trPr>
          <w:trHeight w:val="484"/>
        </w:trPr>
        <w:tc>
          <w:tcPr>
            <w:tcW w:w="805" w:type="dxa"/>
            <w:vMerge/>
          </w:tcPr>
          <w:p w14:paraId="0ED6D1AC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6236605D" w14:textId="77777777" w:rsidR="006E2D20" w:rsidRPr="00BC4B02" w:rsidRDefault="006E2D20" w:rsidP="00C927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Viteză de transfer între 50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100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Mbs</w:t>
            </w:r>
            <w:proofErr w:type="spellEnd"/>
          </w:p>
        </w:tc>
        <w:tc>
          <w:tcPr>
            <w:tcW w:w="966" w:type="dxa"/>
          </w:tcPr>
          <w:p w14:paraId="5B1BC86B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20 p</w:t>
            </w:r>
          </w:p>
          <w:p w14:paraId="53E49BA5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14:paraId="0433DC91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4A14F10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20" w:rsidRPr="00BC4B02" w14:paraId="036EA2FD" w14:textId="77777777" w:rsidTr="006E2D20">
        <w:trPr>
          <w:trHeight w:val="331"/>
        </w:trPr>
        <w:tc>
          <w:tcPr>
            <w:tcW w:w="805" w:type="dxa"/>
            <w:vMerge/>
          </w:tcPr>
          <w:p w14:paraId="2D76E8AE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5C9185A" w14:textId="77777777" w:rsidR="006E2D20" w:rsidRPr="00BC4B02" w:rsidRDefault="006E2D20" w:rsidP="00C927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Viteză de transfer între 30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50Mbs</w:t>
            </w:r>
          </w:p>
        </w:tc>
        <w:tc>
          <w:tcPr>
            <w:tcW w:w="966" w:type="dxa"/>
          </w:tcPr>
          <w:p w14:paraId="4EB816ED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15 p</w:t>
            </w:r>
          </w:p>
        </w:tc>
        <w:tc>
          <w:tcPr>
            <w:tcW w:w="4038" w:type="dxa"/>
            <w:vMerge/>
          </w:tcPr>
          <w:p w14:paraId="075460F6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B186F32" w14:textId="77777777" w:rsidR="006E2D20" w:rsidRPr="00BC4B02" w:rsidRDefault="006E2D20" w:rsidP="006E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C0" w:rsidRPr="00BC4B02" w14:paraId="79DCD4EC" w14:textId="77777777" w:rsidTr="008009C7">
        <w:trPr>
          <w:trHeight w:val="331"/>
        </w:trPr>
        <w:tc>
          <w:tcPr>
            <w:tcW w:w="3751" w:type="dxa"/>
            <w:gridSpan w:val="2"/>
          </w:tcPr>
          <w:p w14:paraId="466F84DF" w14:textId="77777777" w:rsidR="00EB7FC0" w:rsidRPr="00BC4B02" w:rsidRDefault="00EB7FC0" w:rsidP="00C92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Justificarea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punctajului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acordat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CS 4</w:t>
            </w:r>
          </w:p>
        </w:tc>
        <w:tc>
          <w:tcPr>
            <w:tcW w:w="6545" w:type="dxa"/>
            <w:gridSpan w:val="3"/>
          </w:tcPr>
          <w:p w14:paraId="3F494B5C" w14:textId="77777777" w:rsidR="00EB7FC0" w:rsidRPr="00BC4B02" w:rsidRDefault="00EB7FC0" w:rsidP="006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14D09" w14:textId="77777777" w:rsidR="008C0F96" w:rsidRDefault="008C0F96" w:rsidP="0045160F"/>
    <w:p w14:paraId="095509F2" w14:textId="77777777" w:rsidR="00485C97" w:rsidRPr="007507A9" w:rsidRDefault="00485C97" w:rsidP="0048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Criterii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departajarea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proiectelor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punctaj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egal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E6B3AD2" w14:textId="77777777" w:rsidR="00485C97" w:rsidRDefault="00485C97" w:rsidP="00C92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7507A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exista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celași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punctaj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urmă</w:t>
      </w:r>
      <w:r w:rsidRPr="007507A9">
        <w:rPr>
          <w:rFonts w:ascii="Times New Roman" w:hAnsi="Times New Roman" w:cs="Times New Roman"/>
          <w:color w:val="000000"/>
          <w:sz w:val="24"/>
          <w:szCs w:val="24"/>
        </w:rPr>
        <w:t>toarele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12BC3CB8" w14:textId="77777777" w:rsidR="00C927C0" w:rsidRPr="00C927C0" w:rsidRDefault="00C927C0" w:rsidP="00C927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7C0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Pr="00C927C0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C927C0">
        <w:rPr>
          <w:rFonts w:ascii="Times New Roman" w:hAnsi="Times New Roman" w:cs="Times New Roman"/>
          <w:bCs/>
          <w:sz w:val="24"/>
          <w:szCs w:val="24"/>
        </w:rPr>
        <w:t>deservesc</w:t>
      </w:r>
      <w:proofErr w:type="spellEnd"/>
      <w:r w:rsidRPr="00C927C0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proofErr w:type="gramStart"/>
      <w:r w:rsidRPr="00C927C0">
        <w:rPr>
          <w:rFonts w:ascii="Times New Roman" w:hAnsi="Times New Roman" w:cs="Times New Roman"/>
          <w:bCs/>
          <w:sz w:val="24"/>
          <w:szCs w:val="24"/>
        </w:rPr>
        <w:t>populație</w:t>
      </w:r>
      <w:proofErr w:type="spellEnd"/>
      <w:r w:rsidRPr="00C927C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927C0">
        <w:rPr>
          <w:rFonts w:ascii="Times New Roman" w:hAnsi="Times New Roman" w:cs="Times New Roman"/>
          <w:bCs/>
          <w:sz w:val="24"/>
          <w:szCs w:val="24"/>
        </w:rPr>
        <w:t>cât</w:t>
      </w:r>
      <w:proofErr w:type="spellEnd"/>
      <w:proofErr w:type="gramEnd"/>
      <w:r w:rsidRPr="00C9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7C0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C927C0">
        <w:rPr>
          <w:rFonts w:ascii="Times New Roman" w:hAnsi="Times New Roman" w:cs="Times New Roman"/>
          <w:bCs/>
          <w:sz w:val="24"/>
          <w:szCs w:val="24"/>
        </w:rPr>
        <w:t xml:space="preserve"> mare;</w:t>
      </w:r>
    </w:p>
    <w:p w14:paraId="5A721BAF" w14:textId="77777777" w:rsidR="00C927C0" w:rsidRPr="00C927C0" w:rsidRDefault="00C927C0" w:rsidP="00C927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7C0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927C0">
        <w:rPr>
          <w:rFonts w:ascii="Times New Roman" w:hAnsi="Times New Roman" w:cs="Times New Roman"/>
          <w:sz w:val="24"/>
          <w:szCs w:val="24"/>
        </w:rPr>
        <w:t xml:space="preserve"> a </w:t>
      </w:r>
      <w:r w:rsidRPr="00C927C0">
        <w:rPr>
          <w:rFonts w:ascii="Times New Roman" w:hAnsi="Times New Roman" w:cs="Times New Roman"/>
          <w:sz w:val="24"/>
          <w:szCs w:val="24"/>
          <w:lang w:val="ro-RO"/>
        </w:rPr>
        <w:t>căror soluție tehnică oferă cea mai mare viteză de transfer garantată a datelor pentru utilizatorul final.</w:t>
      </w:r>
    </w:p>
    <w:p w14:paraId="669CF54B" w14:textId="77777777" w:rsidR="00C927C0" w:rsidRPr="00C927C0" w:rsidRDefault="00C927C0" w:rsidP="00C927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7C0">
        <w:rPr>
          <w:rFonts w:ascii="Times New Roman" w:hAnsi="Times New Roman" w:cs="Times New Roman"/>
          <w:sz w:val="24"/>
          <w:szCs w:val="24"/>
          <w:lang w:val="ro-RO"/>
        </w:rPr>
        <w:t xml:space="preserve">În cazul proiectelor care vizează </w:t>
      </w:r>
      <w:proofErr w:type="spellStart"/>
      <w:r w:rsidRPr="00C927C0">
        <w:rPr>
          <w:rFonts w:ascii="Times New Roman" w:hAnsi="Times New Roman" w:cs="Times New Roman"/>
          <w:sz w:val="24"/>
          <w:szCs w:val="24"/>
          <w:lang w:val="ro-RO"/>
        </w:rPr>
        <w:t>acelaşi</w:t>
      </w:r>
      <w:proofErr w:type="spellEnd"/>
      <w:r w:rsidRPr="00C927C0">
        <w:rPr>
          <w:rFonts w:ascii="Times New Roman" w:hAnsi="Times New Roman" w:cs="Times New Roman"/>
          <w:sz w:val="24"/>
          <w:szCs w:val="24"/>
          <w:lang w:val="ro-RO"/>
        </w:rPr>
        <w:t xml:space="preserve"> teritoriu </w:t>
      </w:r>
      <w:proofErr w:type="spellStart"/>
      <w:r w:rsidRPr="00C927C0">
        <w:rPr>
          <w:rFonts w:ascii="Times New Roman" w:hAnsi="Times New Roman" w:cs="Times New Roman"/>
          <w:sz w:val="24"/>
          <w:szCs w:val="24"/>
          <w:lang w:val="ro-RO"/>
        </w:rPr>
        <w:t>diferenţierea</w:t>
      </w:r>
      <w:proofErr w:type="spellEnd"/>
      <w:r w:rsidRPr="00C927C0">
        <w:rPr>
          <w:rFonts w:ascii="Times New Roman" w:hAnsi="Times New Roman" w:cs="Times New Roman"/>
          <w:sz w:val="24"/>
          <w:szCs w:val="24"/>
          <w:lang w:val="ro-RO"/>
        </w:rPr>
        <w:t xml:space="preserve"> se va face în </w:t>
      </w:r>
      <w:proofErr w:type="spellStart"/>
      <w:r w:rsidRPr="00C927C0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C927C0">
        <w:rPr>
          <w:rFonts w:ascii="Times New Roman" w:hAnsi="Times New Roman" w:cs="Times New Roman"/>
          <w:sz w:val="24"/>
          <w:szCs w:val="24"/>
          <w:lang w:val="ro-RO"/>
        </w:rPr>
        <w:t xml:space="preserve"> de costul </w:t>
      </w:r>
      <w:proofErr w:type="spellStart"/>
      <w:r w:rsidRPr="00C927C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927C0">
        <w:rPr>
          <w:rFonts w:ascii="Times New Roman" w:hAnsi="Times New Roman" w:cs="Times New Roman"/>
          <w:sz w:val="24"/>
          <w:szCs w:val="24"/>
          <w:lang w:val="ro-RO"/>
        </w:rPr>
        <w:t xml:space="preserve"> tipul </w:t>
      </w:r>
      <w:proofErr w:type="spellStart"/>
      <w:r w:rsidRPr="00C927C0">
        <w:rPr>
          <w:rFonts w:ascii="Times New Roman" w:hAnsi="Times New Roman" w:cs="Times New Roman"/>
          <w:sz w:val="24"/>
          <w:szCs w:val="24"/>
          <w:lang w:val="ro-RO"/>
        </w:rPr>
        <w:t>lucrării.Astfel</w:t>
      </w:r>
      <w:proofErr w:type="spellEnd"/>
      <w:r w:rsidRPr="00C927C0">
        <w:rPr>
          <w:rFonts w:ascii="Times New Roman" w:hAnsi="Times New Roman" w:cs="Times New Roman"/>
          <w:sz w:val="24"/>
          <w:szCs w:val="24"/>
          <w:lang w:val="ro-RO"/>
        </w:rPr>
        <w:t xml:space="preserve"> vor fi </w:t>
      </w:r>
      <w:proofErr w:type="spellStart"/>
      <w:r w:rsidRPr="00C927C0">
        <w:rPr>
          <w:rFonts w:ascii="Times New Roman" w:hAnsi="Times New Roman" w:cs="Times New Roman"/>
          <w:sz w:val="24"/>
          <w:szCs w:val="24"/>
          <w:lang w:val="ro-RO"/>
        </w:rPr>
        <w:t>prioritizate</w:t>
      </w:r>
      <w:proofErr w:type="spellEnd"/>
      <w:r w:rsidRPr="00C927C0">
        <w:rPr>
          <w:rFonts w:ascii="Times New Roman" w:hAnsi="Times New Roman" w:cs="Times New Roman"/>
          <w:sz w:val="24"/>
          <w:szCs w:val="24"/>
          <w:lang w:val="ro-RO"/>
        </w:rPr>
        <w:t xml:space="preserve"> proiectele care se adresează lucrărilor de modernizare(cost mai mic) înaintea celor care au ca obiect construirea infrastructurii de </w:t>
      </w:r>
      <w:proofErr w:type="spellStart"/>
      <w:r w:rsidRPr="00C927C0">
        <w:rPr>
          <w:rFonts w:ascii="Times New Roman" w:hAnsi="Times New Roman" w:cs="Times New Roman"/>
          <w:sz w:val="24"/>
          <w:szCs w:val="24"/>
          <w:lang w:val="ro-RO"/>
        </w:rPr>
        <w:t>broadband</w:t>
      </w:r>
      <w:proofErr w:type="spellEnd"/>
      <w:r w:rsidRPr="00C927C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E7B2D97" w14:textId="5CF6555F" w:rsidR="00485C97" w:rsidRDefault="00485C97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607FB" w14:textId="40DD2CA8" w:rsidR="00BC4B02" w:rsidRDefault="00BC4B02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70845" w14:textId="28D4ED60" w:rsidR="00BC4B02" w:rsidRDefault="00BC4B02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33919" w14:textId="0FD21E32" w:rsidR="00BC4B02" w:rsidRDefault="00BC4B02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DD1ACA" w14:textId="5F597AD1" w:rsidR="00BC4B02" w:rsidRDefault="00BC4B02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9900D" w14:textId="7DA7FA51" w:rsidR="00BC4B02" w:rsidRDefault="00BC4B02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DFD9F" w14:textId="77777777" w:rsidR="00BC4B02" w:rsidRDefault="00BC4B02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9F4C9" w14:textId="29ED2E37" w:rsidR="002F1108" w:rsidRDefault="002F1108" w:rsidP="002F110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2F1108">
        <w:rPr>
          <w:rFonts w:ascii="Times New Roman" w:hAnsi="Times New Roman"/>
          <w:b/>
          <w:bCs/>
        </w:rPr>
        <w:lastRenderedPageBreak/>
        <w:t>Pentru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tipurile</w:t>
      </w:r>
      <w:proofErr w:type="spellEnd"/>
      <w:r w:rsidRPr="002F1108">
        <w:rPr>
          <w:rFonts w:ascii="Times New Roman" w:hAnsi="Times New Roman"/>
          <w:b/>
          <w:bCs/>
        </w:rPr>
        <w:t xml:space="preserve"> de </w:t>
      </w:r>
      <w:proofErr w:type="spellStart"/>
      <w:r w:rsidRPr="002F1108">
        <w:rPr>
          <w:rFonts w:ascii="Times New Roman" w:hAnsi="Times New Roman"/>
          <w:b/>
          <w:bCs/>
        </w:rPr>
        <w:t>investiții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și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cheltuielile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eligibile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aferente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capitolului</w:t>
      </w:r>
      <w:proofErr w:type="spellEnd"/>
      <w:r w:rsidRPr="002F1108">
        <w:rPr>
          <w:rFonts w:ascii="Times New Roman" w:hAnsi="Times New Roman"/>
          <w:b/>
          <w:bCs/>
        </w:rPr>
        <w:t xml:space="preserve"> 6 </w:t>
      </w:r>
      <w:proofErr w:type="spellStart"/>
      <w:r w:rsidRPr="002F1108">
        <w:rPr>
          <w:rFonts w:ascii="Times New Roman" w:hAnsi="Times New Roman"/>
          <w:b/>
          <w:bCs/>
        </w:rPr>
        <w:t>punctul</w:t>
      </w:r>
      <w:proofErr w:type="spellEnd"/>
      <w:r w:rsidRPr="002F1108">
        <w:rPr>
          <w:rFonts w:ascii="Times New Roman" w:hAnsi="Times New Roman"/>
          <w:b/>
          <w:bCs/>
        </w:rPr>
        <w:t xml:space="preserve"> c</w:t>
      </w:r>
      <w:proofErr w:type="gramStart"/>
      <w:r w:rsidRPr="002F1108">
        <w:rPr>
          <w:rFonts w:ascii="Times New Roman" w:hAnsi="Times New Roman"/>
          <w:b/>
          <w:bCs/>
        </w:rPr>
        <w:t>) ,</w:t>
      </w:r>
      <w:proofErr w:type="gram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punctajul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proiectului</w:t>
      </w:r>
      <w:proofErr w:type="spellEnd"/>
      <w:r w:rsidRPr="002F1108">
        <w:rPr>
          <w:rFonts w:ascii="Times New Roman" w:hAnsi="Times New Roman"/>
          <w:b/>
          <w:bCs/>
        </w:rPr>
        <w:t xml:space="preserve"> se </w:t>
      </w:r>
      <w:proofErr w:type="spellStart"/>
      <w:r w:rsidRPr="002F1108">
        <w:rPr>
          <w:rFonts w:ascii="Times New Roman" w:hAnsi="Times New Roman"/>
          <w:b/>
          <w:bCs/>
        </w:rPr>
        <w:t>calculează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în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baza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următoarelor</w:t>
      </w:r>
      <w:proofErr w:type="spellEnd"/>
      <w:r w:rsidRPr="002F1108">
        <w:rPr>
          <w:rFonts w:ascii="Times New Roman" w:hAnsi="Times New Roman"/>
          <w:b/>
          <w:bCs/>
        </w:rPr>
        <w:t xml:space="preserve"> principii </w:t>
      </w:r>
      <w:proofErr w:type="spellStart"/>
      <w:r w:rsidRPr="002F1108">
        <w:rPr>
          <w:rFonts w:ascii="Times New Roman" w:hAnsi="Times New Roman"/>
          <w:b/>
          <w:bCs/>
        </w:rPr>
        <w:t>şi</w:t>
      </w:r>
      <w:proofErr w:type="spellEnd"/>
      <w:r w:rsidRPr="002F1108">
        <w:rPr>
          <w:rFonts w:ascii="Times New Roman" w:hAnsi="Times New Roman"/>
          <w:b/>
          <w:bCs/>
        </w:rPr>
        <w:t xml:space="preserve"> </w:t>
      </w:r>
      <w:proofErr w:type="spellStart"/>
      <w:r w:rsidRPr="002F1108">
        <w:rPr>
          <w:rFonts w:ascii="Times New Roman" w:hAnsi="Times New Roman"/>
          <w:b/>
          <w:bCs/>
        </w:rPr>
        <w:t>criterii</w:t>
      </w:r>
      <w:proofErr w:type="spellEnd"/>
      <w:r w:rsidRPr="002F1108">
        <w:rPr>
          <w:rFonts w:ascii="Times New Roman" w:hAnsi="Times New Roman"/>
          <w:b/>
          <w:bCs/>
        </w:rPr>
        <w:t xml:space="preserve"> de </w:t>
      </w:r>
      <w:proofErr w:type="spellStart"/>
      <w:r w:rsidRPr="002F1108">
        <w:rPr>
          <w:rFonts w:ascii="Times New Roman" w:hAnsi="Times New Roman"/>
          <w:b/>
          <w:bCs/>
        </w:rPr>
        <w:t>selecţie</w:t>
      </w:r>
      <w:proofErr w:type="spellEnd"/>
      <w:r w:rsidRPr="002F1108">
        <w:rPr>
          <w:rFonts w:ascii="Times New Roman" w:hAnsi="Times New Roman"/>
          <w:b/>
          <w:bCs/>
        </w:rPr>
        <w:t>:</w:t>
      </w:r>
    </w:p>
    <w:p w14:paraId="0B12CE6C" w14:textId="77777777" w:rsidR="00203160" w:rsidRPr="002F1108" w:rsidRDefault="00203160" w:rsidP="00203160">
      <w:pPr>
        <w:pStyle w:val="ListParagraph"/>
        <w:autoSpaceDE w:val="0"/>
        <w:autoSpaceDN w:val="0"/>
        <w:adjustRightInd w:val="0"/>
        <w:ind w:firstLine="0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2912"/>
        <w:gridCol w:w="1016"/>
        <w:gridCol w:w="3990"/>
        <w:gridCol w:w="1529"/>
      </w:tblGrid>
      <w:tr w:rsidR="002F1108" w:rsidRPr="00BC4B02" w14:paraId="47C0130B" w14:textId="77777777" w:rsidTr="003F3A55">
        <w:tc>
          <w:tcPr>
            <w:tcW w:w="805" w:type="dxa"/>
          </w:tcPr>
          <w:p w14:paraId="74370C4D" w14:textId="77777777" w:rsidR="002F1108" w:rsidRPr="00BC4B02" w:rsidRDefault="002F1108" w:rsidP="003F3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946" w:type="dxa"/>
          </w:tcPr>
          <w:p w14:paraId="7EDFE785" w14:textId="77777777" w:rsidR="002F1108" w:rsidRPr="00BC4B02" w:rsidRDefault="002F1108" w:rsidP="003F3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Criteriu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selecție</w:t>
            </w:r>
            <w:proofErr w:type="spellEnd"/>
          </w:p>
        </w:tc>
        <w:tc>
          <w:tcPr>
            <w:tcW w:w="966" w:type="dxa"/>
          </w:tcPr>
          <w:p w14:paraId="6EC1DBC4" w14:textId="77777777" w:rsidR="002F1108" w:rsidRPr="00BC4B02" w:rsidRDefault="002F1108" w:rsidP="003F3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4038" w:type="dxa"/>
          </w:tcPr>
          <w:p w14:paraId="1E18D130" w14:textId="77777777" w:rsidR="002F1108" w:rsidRPr="00BC4B02" w:rsidRDefault="002F1108" w:rsidP="002F1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Modalitate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acordare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14:paraId="391DCFF7" w14:textId="77777777" w:rsidR="002F1108" w:rsidRPr="00BC4B02" w:rsidRDefault="002F1108" w:rsidP="003F3A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GAL</w:t>
            </w:r>
          </w:p>
        </w:tc>
      </w:tr>
      <w:tr w:rsidR="002F1108" w:rsidRPr="00BC4B02" w14:paraId="0C920B9B" w14:textId="77777777" w:rsidTr="003F3A55">
        <w:trPr>
          <w:trHeight w:val="1792"/>
        </w:trPr>
        <w:tc>
          <w:tcPr>
            <w:tcW w:w="805" w:type="dxa"/>
            <w:vMerge w:val="restart"/>
          </w:tcPr>
          <w:p w14:paraId="2EA75E72" w14:textId="0632B2BC" w:rsidR="002F1108" w:rsidRPr="00BC4B02" w:rsidRDefault="00203160" w:rsidP="003F3A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CS 1 </w:t>
            </w:r>
          </w:p>
        </w:tc>
        <w:tc>
          <w:tcPr>
            <w:tcW w:w="2946" w:type="dxa"/>
          </w:tcPr>
          <w:p w14:paraId="7CAF06EA" w14:textId="77777777" w:rsidR="002F1108" w:rsidRPr="00BC4B02" w:rsidRDefault="002F1108" w:rsidP="002F1108">
            <w:pPr>
              <w:spacing w:after="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762841"/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UAT-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urilor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beneficiare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14:paraId="65DEFFE6" w14:textId="237F0CD2" w:rsidR="002F1108" w:rsidRPr="00BC4B02" w:rsidRDefault="002F1108" w:rsidP="003F3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70BF525" w14:textId="2F2DA7A6" w:rsidR="002F1108" w:rsidRPr="00BC4B02" w:rsidRDefault="002F1108" w:rsidP="003F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Max 40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038" w:type="dxa"/>
          </w:tcPr>
          <w:p w14:paraId="21B476F6" w14:textId="77777777" w:rsidR="002F1108" w:rsidRPr="00BC4B02" w:rsidRDefault="008770C8" w:rsidP="002F1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considerare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UAT-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beneficia de pe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implementării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UAT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beneficiază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investițiile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puțin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domiciliate </w:t>
            </w:r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UAT vor fi beneficiarii indirecți ai serviciilor TIC. </w:t>
            </w: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verifică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justificativ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fezabilitate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0C85711" w14:textId="2E848FCA" w:rsidR="00BC4B02" w:rsidRPr="00BC4B02" w:rsidRDefault="00BC4B02" w:rsidP="002F1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diferenţiat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funcţie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UAT-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deservite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departajării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selecţie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41" w:type="dxa"/>
          </w:tcPr>
          <w:p w14:paraId="00C12416" w14:textId="77777777" w:rsidR="002F1108" w:rsidRPr="00BC4B02" w:rsidRDefault="002F1108" w:rsidP="003F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068093C8" w14:textId="77777777" w:rsidTr="002F1108">
        <w:trPr>
          <w:trHeight w:val="263"/>
        </w:trPr>
        <w:tc>
          <w:tcPr>
            <w:tcW w:w="805" w:type="dxa"/>
            <w:vMerge/>
          </w:tcPr>
          <w:p w14:paraId="59D3E1D8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308C0B13" w14:textId="508EAA38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 UAT beneficiar</w:t>
            </w:r>
          </w:p>
        </w:tc>
        <w:tc>
          <w:tcPr>
            <w:tcW w:w="966" w:type="dxa"/>
          </w:tcPr>
          <w:p w14:paraId="0791B3C5" w14:textId="0C24F5B2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10 p</w:t>
            </w:r>
          </w:p>
        </w:tc>
        <w:tc>
          <w:tcPr>
            <w:tcW w:w="4038" w:type="dxa"/>
          </w:tcPr>
          <w:p w14:paraId="4BA18C1A" w14:textId="22DA4088" w:rsidR="002F1108" w:rsidRPr="00BC4B02" w:rsidRDefault="002F1108" w:rsidP="002F1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F8899CA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4F8A1140" w14:textId="77777777" w:rsidTr="003F3A55">
        <w:tc>
          <w:tcPr>
            <w:tcW w:w="805" w:type="dxa"/>
            <w:vMerge/>
          </w:tcPr>
          <w:p w14:paraId="7624C736" w14:textId="77777777" w:rsidR="002F1108" w:rsidRPr="00BC4B02" w:rsidRDefault="002F1108" w:rsidP="002F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BFB6417" w14:textId="00F26EDB" w:rsidR="002F1108" w:rsidRPr="00BC4B02" w:rsidRDefault="002F1108" w:rsidP="002F1108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UAT -uri beneficiare</w:t>
            </w:r>
          </w:p>
        </w:tc>
        <w:tc>
          <w:tcPr>
            <w:tcW w:w="966" w:type="dxa"/>
          </w:tcPr>
          <w:p w14:paraId="763BC1C2" w14:textId="6F937C15" w:rsidR="002F1108" w:rsidRPr="00BC4B02" w:rsidRDefault="002F1108" w:rsidP="002F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>20 p</w:t>
            </w:r>
          </w:p>
        </w:tc>
        <w:tc>
          <w:tcPr>
            <w:tcW w:w="4038" w:type="dxa"/>
          </w:tcPr>
          <w:p w14:paraId="6D8535F8" w14:textId="77777777" w:rsidR="002F1108" w:rsidRPr="00BC4B02" w:rsidRDefault="002F1108" w:rsidP="002F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A746D19" w14:textId="77777777" w:rsidR="002F1108" w:rsidRPr="00BC4B02" w:rsidRDefault="002F1108" w:rsidP="002F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66CC7DCE" w14:textId="77777777" w:rsidTr="003F3A55">
        <w:tc>
          <w:tcPr>
            <w:tcW w:w="805" w:type="dxa"/>
            <w:vMerge/>
          </w:tcPr>
          <w:p w14:paraId="4D74A876" w14:textId="77777777" w:rsidR="002F1108" w:rsidRPr="00BC4B02" w:rsidRDefault="002F1108" w:rsidP="002F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0F6F8638" w14:textId="080C1823" w:rsidR="002F1108" w:rsidRPr="00BC4B02" w:rsidRDefault="002F1108" w:rsidP="002F1108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 UAT-uri beneficiare</w:t>
            </w:r>
          </w:p>
        </w:tc>
        <w:tc>
          <w:tcPr>
            <w:tcW w:w="966" w:type="dxa"/>
          </w:tcPr>
          <w:p w14:paraId="447CD388" w14:textId="5306A1F3" w:rsidR="002F1108" w:rsidRPr="00BC4B02" w:rsidRDefault="002F1108" w:rsidP="002F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p </w:t>
            </w:r>
          </w:p>
        </w:tc>
        <w:tc>
          <w:tcPr>
            <w:tcW w:w="4038" w:type="dxa"/>
          </w:tcPr>
          <w:p w14:paraId="03CBE34C" w14:textId="77777777" w:rsidR="002F1108" w:rsidRPr="00BC4B02" w:rsidRDefault="002F1108" w:rsidP="002F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FDB9AC0" w14:textId="77777777" w:rsidR="002F1108" w:rsidRPr="00BC4B02" w:rsidRDefault="002F1108" w:rsidP="002F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20365CC9" w14:textId="77777777" w:rsidTr="003F3A55">
        <w:tc>
          <w:tcPr>
            <w:tcW w:w="805" w:type="dxa"/>
            <w:vMerge/>
          </w:tcPr>
          <w:p w14:paraId="04637EF9" w14:textId="77777777" w:rsidR="002F1108" w:rsidRPr="00BC4B02" w:rsidRDefault="002F1108" w:rsidP="002F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80AD9F7" w14:textId="407FB9B3" w:rsidR="002F1108" w:rsidRPr="00BC4B02" w:rsidRDefault="002F1108" w:rsidP="002F1108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Peste 3 UAT-uri beneficiare</w:t>
            </w:r>
          </w:p>
        </w:tc>
        <w:tc>
          <w:tcPr>
            <w:tcW w:w="966" w:type="dxa"/>
          </w:tcPr>
          <w:p w14:paraId="5358CBD2" w14:textId="7F03DA5F" w:rsidR="002F1108" w:rsidRPr="00BC4B02" w:rsidRDefault="002F1108" w:rsidP="002F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p </w:t>
            </w:r>
          </w:p>
        </w:tc>
        <w:tc>
          <w:tcPr>
            <w:tcW w:w="4038" w:type="dxa"/>
          </w:tcPr>
          <w:p w14:paraId="10901122" w14:textId="77777777" w:rsidR="002F1108" w:rsidRPr="00BC4B02" w:rsidRDefault="002F1108" w:rsidP="002F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1EDF0AA" w14:textId="77777777" w:rsidR="002F1108" w:rsidRPr="00BC4B02" w:rsidRDefault="002F1108" w:rsidP="002F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2664A0EB" w14:textId="77777777" w:rsidTr="003F3A55">
        <w:tc>
          <w:tcPr>
            <w:tcW w:w="3751" w:type="dxa"/>
            <w:gridSpan w:val="2"/>
          </w:tcPr>
          <w:p w14:paraId="0DB21861" w14:textId="77777777" w:rsidR="002F1108" w:rsidRPr="00BC4B02" w:rsidRDefault="002F1108" w:rsidP="002F1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Justificarea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punctajului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acordat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CS 1</w:t>
            </w:r>
          </w:p>
        </w:tc>
        <w:tc>
          <w:tcPr>
            <w:tcW w:w="6545" w:type="dxa"/>
            <w:gridSpan w:val="3"/>
          </w:tcPr>
          <w:p w14:paraId="045E07F9" w14:textId="77777777" w:rsidR="002F1108" w:rsidRPr="00BC4B02" w:rsidRDefault="002F1108" w:rsidP="002F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3CB2A2DC" w14:textId="77777777" w:rsidTr="003F3A55">
        <w:trPr>
          <w:trHeight w:val="1005"/>
        </w:trPr>
        <w:tc>
          <w:tcPr>
            <w:tcW w:w="805" w:type="dxa"/>
            <w:vMerge w:val="restart"/>
          </w:tcPr>
          <w:p w14:paraId="7D7E1974" w14:textId="6969B77D" w:rsidR="002F1108" w:rsidRPr="00BC4B02" w:rsidRDefault="00203160" w:rsidP="002F1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 2</w:t>
            </w: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vMerge w:val="restart"/>
          </w:tcPr>
          <w:p w14:paraId="1EBAF3F9" w14:textId="77777777" w:rsidR="002F1108" w:rsidRPr="00BC4B02" w:rsidRDefault="002F1108" w:rsidP="002F1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Principiul gradului de deservire a populației - Dimensiunea grupului </w:t>
            </w:r>
            <w:proofErr w:type="spellStart"/>
            <w:r w:rsidRPr="00BC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ţintă</w:t>
            </w:r>
            <w:proofErr w:type="spellEnd"/>
            <w:r w:rsidRPr="00BC4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(minim 30)</w:t>
            </w:r>
          </w:p>
          <w:p w14:paraId="052E67A2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7F48" w14:textId="7435163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66" w:type="dxa"/>
            <w:vMerge w:val="restart"/>
          </w:tcPr>
          <w:p w14:paraId="4056EF02" w14:textId="2DCD9B0C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Max 60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038" w:type="dxa"/>
            <w:vMerge w:val="restart"/>
          </w:tcPr>
          <w:p w14:paraId="141B0C3E" w14:textId="77777777" w:rsidR="008770C8" w:rsidRPr="00BC4B02" w:rsidRDefault="008770C8" w:rsidP="00877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locuitori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1AEFB1A" w14:textId="77777777" w:rsidR="002F1108" w:rsidRPr="00BC4B02" w:rsidRDefault="008770C8" w:rsidP="002F11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total al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populaţiei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UAT -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ului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pe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raza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căruia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realiza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investiţia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este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conform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Rezultatului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final al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recensământului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populaţiei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locuinţelor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din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anul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2011 ‐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Tabelul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nr.3 „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Populaţia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stabilă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pe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sexe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grupe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vârstă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‐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judeţe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municipii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oraşe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comune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”, (se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consulta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coloana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nr.1), </w:t>
            </w:r>
            <w:proofErr w:type="spellStart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>Anexa</w:t>
            </w:r>
            <w:proofErr w:type="spellEnd"/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7</w:t>
            </w:r>
          </w:p>
          <w:p w14:paraId="621BF13F" w14:textId="10E3ED3D" w:rsidR="00BC4B02" w:rsidRPr="00BC4B02" w:rsidRDefault="00BC4B02" w:rsidP="002F11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B02">
              <w:rPr>
                <w:rFonts w:ascii="Times New Roman" w:hAnsi="Times New Roman" w:cs="Times New Roman"/>
                <w:lang w:val="ro-RO"/>
              </w:rPr>
              <w:lastRenderedPageBreak/>
              <w:t xml:space="preserve">Se va acorda punctaj </w:t>
            </w:r>
            <w:proofErr w:type="spellStart"/>
            <w:r w:rsidRPr="00BC4B02">
              <w:rPr>
                <w:rFonts w:ascii="Times New Roman" w:hAnsi="Times New Roman" w:cs="Times New Roman"/>
                <w:lang w:val="ro-RO"/>
              </w:rPr>
              <w:t>diferenţiat</w:t>
            </w:r>
            <w:proofErr w:type="spellEnd"/>
            <w:r w:rsidRPr="00BC4B02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BC4B02">
              <w:rPr>
                <w:rFonts w:ascii="Times New Roman" w:hAnsi="Times New Roman" w:cs="Times New Roman"/>
                <w:lang w:val="ro-RO"/>
              </w:rPr>
              <w:t>funcţie</w:t>
            </w:r>
            <w:proofErr w:type="spellEnd"/>
            <w:r w:rsidRPr="00BC4B02">
              <w:rPr>
                <w:rFonts w:ascii="Times New Roman" w:hAnsi="Times New Roman" w:cs="Times New Roman"/>
                <w:lang w:val="ro-RO"/>
              </w:rPr>
              <w:t xml:space="preserve"> numărul </w:t>
            </w:r>
            <w:proofErr w:type="spellStart"/>
            <w:r w:rsidRPr="00BC4B02">
              <w:rPr>
                <w:rFonts w:ascii="Times New Roman" w:hAnsi="Times New Roman" w:cs="Times New Roman"/>
                <w:lang w:val="ro-RO"/>
              </w:rPr>
              <w:t>populaţiei</w:t>
            </w:r>
            <w:proofErr w:type="spellEnd"/>
            <w:r w:rsidRPr="00BC4B02">
              <w:rPr>
                <w:rFonts w:ascii="Times New Roman" w:hAnsi="Times New Roman" w:cs="Times New Roman"/>
                <w:lang w:val="ro-RO"/>
              </w:rPr>
              <w:t xml:space="preserve"> deservite prin proiect conform departajării din criteriul de </w:t>
            </w:r>
            <w:proofErr w:type="spellStart"/>
            <w:r w:rsidRPr="00BC4B02">
              <w:rPr>
                <w:rFonts w:ascii="Times New Roman" w:hAnsi="Times New Roman" w:cs="Times New Roman"/>
                <w:lang w:val="ro-RO"/>
              </w:rPr>
              <w:t>selecţie</w:t>
            </w:r>
            <w:proofErr w:type="spellEnd"/>
            <w:r w:rsidRPr="00BC4B02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BC4B02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</w:rPr>
              <w:t>consideră</w:t>
            </w:r>
            <w:proofErr w:type="spellEnd"/>
            <w:r w:rsidRPr="00BC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</w:rPr>
              <w:t>numărul</w:t>
            </w:r>
            <w:proofErr w:type="spellEnd"/>
            <w:r w:rsidRPr="00BC4B02">
              <w:rPr>
                <w:rFonts w:ascii="Times New Roman" w:hAnsi="Times New Roman" w:cs="Times New Roman"/>
              </w:rPr>
              <w:t xml:space="preserve"> total de </w:t>
            </w:r>
            <w:proofErr w:type="spellStart"/>
            <w:r w:rsidRPr="00BC4B02">
              <w:rPr>
                <w:rFonts w:ascii="Times New Roman" w:hAnsi="Times New Roman" w:cs="Times New Roman"/>
              </w:rPr>
              <w:t>locuitori</w:t>
            </w:r>
            <w:proofErr w:type="spellEnd"/>
            <w:r w:rsidRPr="00BC4B02">
              <w:rPr>
                <w:rFonts w:ascii="Times New Roman" w:hAnsi="Times New Roman" w:cs="Times New Roman"/>
              </w:rPr>
              <w:t xml:space="preserve"> ai UAT-</w:t>
            </w:r>
            <w:proofErr w:type="spellStart"/>
            <w:r w:rsidRPr="00BC4B02">
              <w:rPr>
                <w:rFonts w:ascii="Times New Roman" w:hAnsi="Times New Roman" w:cs="Times New Roman"/>
              </w:rPr>
              <w:t>ului</w:t>
            </w:r>
            <w:proofErr w:type="spellEnd"/>
          </w:p>
        </w:tc>
        <w:tc>
          <w:tcPr>
            <w:tcW w:w="1541" w:type="dxa"/>
          </w:tcPr>
          <w:p w14:paraId="6502EFB3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0A3575F7" w14:textId="77777777" w:rsidTr="003F3A55">
        <w:trPr>
          <w:trHeight w:val="1214"/>
        </w:trPr>
        <w:tc>
          <w:tcPr>
            <w:tcW w:w="805" w:type="dxa"/>
            <w:vMerge/>
          </w:tcPr>
          <w:p w14:paraId="2C1E9CED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14:paraId="51A9E643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14:paraId="7DF36AD5" w14:textId="5071103E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14:paraId="54A29FB5" w14:textId="4300AC63" w:rsidR="002F1108" w:rsidRPr="00BC4B02" w:rsidRDefault="002F1108" w:rsidP="002F1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14:paraId="7DD5B2B3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2262E9D7" w14:textId="77777777" w:rsidTr="003F3A55">
        <w:trPr>
          <w:trHeight w:val="497"/>
        </w:trPr>
        <w:tc>
          <w:tcPr>
            <w:tcW w:w="805" w:type="dxa"/>
            <w:vMerge/>
          </w:tcPr>
          <w:p w14:paraId="3FFB3ECD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24A50F8C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 </w:t>
            </w:r>
          </w:p>
        </w:tc>
        <w:tc>
          <w:tcPr>
            <w:tcW w:w="966" w:type="dxa"/>
          </w:tcPr>
          <w:p w14:paraId="6B5235DD" w14:textId="2245B90B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14:paraId="4BE94E7A" w14:textId="0F68617E" w:rsidR="002F1108" w:rsidRPr="00BC4B02" w:rsidRDefault="002F1108" w:rsidP="002F11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4B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</w:tc>
        <w:tc>
          <w:tcPr>
            <w:tcW w:w="1541" w:type="dxa"/>
          </w:tcPr>
          <w:p w14:paraId="50748D70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4F7C45AC" w14:textId="77777777" w:rsidTr="003F3A55">
        <w:trPr>
          <w:trHeight w:val="399"/>
        </w:trPr>
        <w:tc>
          <w:tcPr>
            <w:tcW w:w="805" w:type="dxa"/>
            <w:vMerge/>
          </w:tcPr>
          <w:p w14:paraId="47B1A303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04C795FE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3000 – 4.999 </w:t>
            </w:r>
          </w:p>
        </w:tc>
        <w:tc>
          <w:tcPr>
            <w:tcW w:w="966" w:type="dxa"/>
          </w:tcPr>
          <w:p w14:paraId="77D1D3F6" w14:textId="446A2472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14:paraId="47BD8864" w14:textId="49DE63EF" w:rsidR="002F1108" w:rsidRPr="00BC4B02" w:rsidRDefault="002F1108" w:rsidP="002F11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4D264044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297975DB" w14:textId="77777777" w:rsidTr="003F3A55">
        <w:trPr>
          <w:trHeight w:val="444"/>
        </w:trPr>
        <w:tc>
          <w:tcPr>
            <w:tcW w:w="805" w:type="dxa"/>
            <w:vMerge/>
          </w:tcPr>
          <w:p w14:paraId="6D89B092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5647D01E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 – 2.999</w:t>
            </w:r>
          </w:p>
        </w:tc>
        <w:tc>
          <w:tcPr>
            <w:tcW w:w="966" w:type="dxa"/>
          </w:tcPr>
          <w:p w14:paraId="1C07EB23" w14:textId="2D7E8E2D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14:paraId="76D46831" w14:textId="77777777" w:rsidR="002F1108" w:rsidRPr="00BC4B02" w:rsidRDefault="002F1108" w:rsidP="002F11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4DAE0EC5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8" w:rsidRPr="00BC4B02" w14:paraId="41C7A7D9" w14:textId="77777777" w:rsidTr="003F3A55">
        <w:trPr>
          <w:trHeight w:val="444"/>
        </w:trPr>
        <w:tc>
          <w:tcPr>
            <w:tcW w:w="3751" w:type="dxa"/>
            <w:gridSpan w:val="2"/>
          </w:tcPr>
          <w:p w14:paraId="33AB27AE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Justificarea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punctajului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>acordat</w:t>
            </w:r>
            <w:proofErr w:type="spellEnd"/>
            <w:r w:rsidRPr="00BC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CS 2</w:t>
            </w:r>
          </w:p>
        </w:tc>
        <w:tc>
          <w:tcPr>
            <w:tcW w:w="6545" w:type="dxa"/>
            <w:gridSpan w:val="3"/>
          </w:tcPr>
          <w:p w14:paraId="481DFEE0" w14:textId="77777777" w:rsidR="002F1108" w:rsidRPr="00BC4B02" w:rsidRDefault="002F1108" w:rsidP="002F1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0D08C" w14:textId="77777777" w:rsidR="00C927C0" w:rsidRDefault="00C927C0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FA81E" w14:textId="77777777" w:rsidR="002F1108" w:rsidRPr="007507A9" w:rsidRDefault="002F1108" w:rsidP="002F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Criterii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departajarea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proiectelor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punctaj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egal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0141617E" w14:textId="77777777" w:rsidR="002F1108" w:rsidRDefault="002F1108" w:rsidP="002F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7507A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exista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celași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punctaj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urmă</w:t>
      </w:r>
      <w:r w:rsidRPr="007507A9">
        <w:rPr>
          <w:rFonts w:ascii="Times New Roman" w:hAnsi="Times New Roman" w:cs="Times New Roman"/>
          <w:color w:val="000000"/>
          <w:sz w:val="24"/>
          <w:szCs w:val="24"/>
        </w:rPr>
        <w:t>toarele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6411F646" w14:textId="5504005B" w:rsidR="008770C8" w:rsidRPr="008770C8" w:rsidRDefault="008770C8" w:rsidP="00877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70C8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Pr="008770C8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8770C8">
        <w:rPr>
          <w:rFonts w:ascii="Times New Roman" w:hAnsi="Times New Roman" w:cs="Times New Roman"/>
          <w:bCs/>
          <w:sz w:val="24"/>
          <w:szCs w:val="24"/>
        </w:rPr>
        <w:t>deservesc</w:t>
      </w:r>
      <w:proofErr w:type="spellEnd"/>
      <w:r w:rsidRPr="008770C8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8770C8">
        <w:rPr>
          <w:rFonts w:ascii="Times New Roman" w:hAnsi="Times New Roman" w:cs="Times New Roman"/>
          <w:bCs/>
          <w:sz w:val="24"/>
          <w:szCs w:val="24"/>
        </w:rPr>
        <w:t>populație</w:t>
      </w:r>
      <w:proofErr w:type="spellEnd"/>
      <w:r w:rsidRPr="00877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0C8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8770C8">
        <w:rPr>
          <w:rFonts w:ascii="Times New Roman" w:hAnsi="Times New Roman" w:cs="Times New Roman"/>
          <w:bCs/>
          <w:sz w:val="24"/>
          <w:szCs w:val="24"/>
        </w:rPr>
        <w:t xml:space="preserve"> mare;</w:t>
      </w:r>
    </w:p>
    <w:p w14:paraId="2021BC64" w14:textId="77777777" w:rsidR="008770C8" w:rsidRPr="008770C8" w:rsidRDefault="008770C8" w:rsidP="00877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70C8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Pr="008770C8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8770C8">
        <w:rPr>
          <w:rFonts w:ascii="Times New Roman" w:hAnsi="Times New Roman" w:cs="Times New Roman"/>
          <w:bCs/>
          <w:sz w:val="24"/>
          <w:szCs w:val="24"/>
        </w:rPr>
        <w:t>deservesc</w:t>
      </w:r>
      <w:proofErr w:type="spellEnd"/>
      <w:r w:rsidRPr="008770C8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8770C8">
        <w:rPr>
          <w:rFonts w:ascii="Times New Roman" w:hAnsi="Times New Roman" w:cs="Times New Roman"/>
          <w:bCs/>
          <w:sz w:val="24"/>
          <w:szCs w:val="24"/>
        </w:rPr>
        <w:t>număr</w:t>
      </w:r>
      <w:proofErr w:type="spellEnd"/>
      <w:r w:rsidRPr="00877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0C8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8770C8">
        <w:rPr>
          <w:rFonts w:ascii="Times New Roman" w:hAnsi="Times New Roman" w:cs="Times New Roman"/>
          <w:bCs/>
          <w:sz w:val="24"/>
          <w:szCs w:val="24"/>
        </w:rPr>
        <w:t xml:space="preserve"> mare de UAT-</w:t>
      </w:r>
      <w:proofErr w:type="spellStart"/>
      <w:r w:rsidRPr="008770C8">
        <w:rPr>
          <w:rFonts w:ascii="Times New Roman" w:hAnsi="Times New Roman" w:cs="Times New Roman"/>
          <w:bCs/>
          <w:sz w:val="24"/>
          <w:szCs w:val="24"/>
        </w:rPr>
        <w:t>uri</w:t>
      </w:r>
      <w:proofErr w:type="spellEnd"/>
      <w:r w:rsidRPr="008770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9D6AC5" w14:textId="77777777" w:rsidR="00C927C0" w:rsidRDefault="00C927C0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5CE38" w14:textId="77777777" w:rsidR="00C927C0" w:rsidRPr="00F651C6" w:rsidRDefault="00C927C0" w:rsidP="00485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54590" w14:textId="77777777" w:rsidR="00CF1B58" w:rsidRDefault="00CF1B58" w:rsidP="00CF1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Punctajul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F1B58">
        <w:rPr>
          <w:rFonts w:ascii="Times New Roman" w:hAnsi="Times New Roman" w:cs="Times New Roman"/>
          <w:b/>
          <w:sz w:val="24"/>
          <w:szCs w:val="24"/>
        </w:rPr>
        <w:t>obținut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urma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verificării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criteriilor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selecție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de ……………………………….</w:t>
      </w:r>
    </w:p>
    <w:p w14:paraId="6A9A6BAB" w14:textId="77777777" w:rsidR="00C927C0" w:rsidRPr="00CF1B58" w:rsidRDefault="00C927C0" w:rsidP="00CF1B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216E77" w14:textId="77777777" w:rsidR="00CF1B58" w:rsidRPr="00485C97" w:rsidRDefault="00CF1B58" w:rsidP="00CF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Expertul completează, semn</w:t>
      </w:r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ează </w:t>
      </w:r>
      <w:proofErr w:type="spellStart"/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datează </w:t>
      </w:r>
      <w:proofErr w:type="spellStart"/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>Fişa</w:t>
      </w:r>
      <w:proofErr w:type="spellEnd"/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verificare</w:t>
      </w: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</w:t>
      </w:r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de </w:t>
      </w:r>
      <w:proofErr w:type="spellStart"/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>selecţie</w:t>
      </w:r>
      <w:proofErr w:type="spellEnd"/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 punctajul total acordat. </w:t>
      </w:r>
    </w:p>
    <w:p w14:paraId="3A97A1EC" w14:textId="3510E1B4" w:rsidR="00CF1B58" w:rsidRDefault="00CF1B58" w:rsidP="007D3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Dacă există </w:t>
      </w:r>
      <w:proofErr w:type="spellStart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divergenţe</w:t>
      </w:r>
      <w:proofErr w:type="spellEnd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între expert </w:t>
      </w:r>
      <w:proofErr w:type="spellStart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persoana care verifică munca expertului, acestea sunt mediate /rezolvate de </w:t>
      </w:r>
      <w:proofErr w:type="spellStart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şeful</w:t>
      </w:r>
      <w:proofErr w:type="spellEnd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ierarhic superior, care </w:t>
      </w:r>
      <w:proofErr w:type="spellStart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consemnează decizia sub semnătură.</w:t>
      </w:r>
    </w:p>
    <w:p w14:paraId="63AF916D" w14:textId="77777777" w:rsidR="002F1108" w:rsidRPr="007D3557" w:rsidRDefault="002F1108" w:rsidP="007D3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2BBAA4" w14:textId="158E9434" w:rsidR="00985B81" w:rsidRDefault="00985B81" w:rsidP="005851C3">
      <w:pPr>
        <w:spacing w:after="0"/>
        <w:rPr>
          <w:rFonts w:ascii="Calibri" w:hAnsi="Calibri" w:cs="Calibri"/>
          <w:b/>
          <w:lang w:val="ro-RO"/>
        </w:rPr>
      </w:pPr>
    </w:p>
    <w:p w14:paraId="19D84D02" w14:textId="1A0F0F75" w:rsidR="008770C8" w:rsidRDefault="008770C8" w:rsidP="005851C3">
      <w:pPr>
        <w:spacing w:after="0"/>
        <w:rPr>
          <w:rFonts w:ascii="Calibri" w:hAnsi="Calibri" w:cs="Calibri"/>
          <w:b/>
          <w:lang w:val="ro-RO"/>
        </w:rPr>
      </w:pPr>
    </w:p>
    <w:p w14:paraId="4ED0CB27" w14:textId="3B0E743B" w:rsidR="008770C8" w:rsidRDefault="008770C8" w:rsidP="005851C3">
      <w:pPr>
        <w:spacing w:after="0"/>
        <w:rPr>
          <w:rFonts w:ascii="Calibri" w:hAnsi="Calibri" w:cs="Calibri"/>
          <w:b/>
          <w:lang w:val="ro-RO"/>
        </w:rPr>
      </w:pPr>
    </w:p>
    <w:p w14:paraId="348DC5D7" w14:textId="4413105B" w:rsidR="008770C8" w:rsidRDefault="008770C8" w:rsidP="005851C3">
      <w:pPr>
        <w:spacing w:after="0"/>
        <w:rPr>
          <w:rFonts w:ascii="Calibri" w:hAnsi="Calibri" w:cs="Calibri"/>
          <w:b/>
          <w:lang w:val="ro-RO"/>
        </w:rPr>
      </w:pPr>
    </w:p>
    <w:p w14:paraId="2A674495" w14:textId="56BED395" w:rsidR="00BC4B02" w:rsidRDefault="00BC4B02" w:rsidP="005851C3">
      <w:pPr>
        <w:spacing w:after="0"/>
        <w:rPr>
          <w:rFonts w:ascii="Calibri" w:hAnsi="Calibri" w:cs="Calibri"/>
          <w:b/>
          <w:lang w:val="ro-RO"/>
        </w:rPr>
      </w:pPr>
    </w:p>
    <w:p w14:paraId="71C7D198" w14:textId="19C0A597" w:rsidR="00BC4B02" w:rsidRDefault="00BC4B02" w:rsidP="005851C3">
      <w:pPr>
        <w:spacing w:after="0"/>
        <w:rPr>
          <w:rFonts w:ascii="Calibri" w:hAnsi="Calibri" w:cs="Calibri"/>
          <w:b/>
          <w:lang w:val="ro-RO"/>
        </w:rPr>
      </w:pPr>
    </w:p>
    <w:p w14:paraId="0E9D3E97" w14:textId="4176EB31" w:rsidR="00BC4B02" w:rsidRDefault="00BC4B02" w:rsidP="005851C3">
      <w:pPr>
        <w:spacing w:after="0"/>
        <w:rPr>
          <w:rFonts w:ascii="Calibri" w:hAnsi="Calibri" w:cs="Calibri"/>
          <w:b/>
          <w:lang w:val="ro-RO"/>
        </w:rPr>
      </w:pPr>
    </w:p>
    <w:p w14:paraId="0A298375" w14:textId="75A4CC02" w:rsidR="00BC4B02" w:rsidRDefault="00BC4B02" w:rsidP="005851C3">
      <w:pPr>
        <w:spacing w:after="0"/>
        <w:rPr>
          <w:rFonts w:ascii="Calibri" w:hAnsi="Calibri" w:cs="Calibri"/>
          <w:b/>
          <w:lang w:val="ro-RO"/>
        </w:rPr>
      </w:pPr>
    </w:p>
    <w:p w14:paraId="4E3364E2" w14:textId="24B20B31" w:rsidR="00BC4B02" w:rsidRDefault="00BC4B02" w:rsidP="005851C3">
      <w:pPr>
        <w:spacing w:after="0"/>
        <w:rPr>
          <w:rFonts w:ascii="Calibri" w:hAnsi="Calibri" w:cs="Calibri"/>
          <w:b/>
          <w:lang w:val="ro-RO"/>
        </w:rPr>
      </w:pPr>
    </w:p>
    <w:p w14:paraId="5D642F84" w14:textId="77777777" w:rsidR="00BC4B02" w:rsidRDefault="00BC4B02" w:rsidP="005851C3">
      <w:pPr>
        <w:spacing w:after="0"/>
        <w:rPr>
          <w:rFonts w:ascii="Calibri" w:hAnsi="Calibri" w:cs="Calibri"/>
          <w:b/>
          <w:lang w:val="ro-RO"/>
        </w:rPr>
      </w:pPr>
    </w:p>
    <w:p w14:paraId="1036795D" w14:textId="77777777" w:rsidR="008770C8" w:rsidRDefault="008770C8" w:rsidP="005851C3">
      <w:pPr>
        <w:spacing w:after="0"/>
        <w:rPr>
          <w:rFonts w:ascii="Calibri" w:hAnsi="Calibri" w:cs="Calibri"/>
          <w:b/>
          <w:lang w:val="ro-RO"/>
        </w:rPr>
      </w:pPr>
    </w:p>
    <w:p w14:paraId="36A4129A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F9A14" wp14:editId="4426C14A">
                <wp:simplePos x="0" y="0"/>
                <wp:positionH relativeFrom="column">
                  <wp:posOffset>5363210</wp:posOffset>
                </wp:positionH>
                <wp:positionV relativeFrom="paragraph">
                  <wp:posOffset>11430</wp:posOffset>
                </wp:positionV>
                <wp:extent cx="1247775" cy="876300"/>
                <wp:effectExtent l="10160" t="11430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B06BF" w14:textId="77777777" w:rsidR="00B03A24" w:rsidRPr="00CF1758" w:rsidRDefault="00B03A24" w:rsidP="00B03A2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CF1758">
                              <w:rPr>
                                <w:rFonts w:ascii="Trebuchet MS" w:eastAsia="Times New Roman" w:hAnsi="Trebuchet MS"/>
                                <w:bCs/>
                                <w:i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9A14" id="Rectangle 12" o:spid="_x0000_s1026" style="position:absolute;margin-left:422.3pt;margin-top:.9pt;width:98.2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cJIgIAACAEAAAOAAAAZHJzL2Uyb0RvYy54bWysU1Fv0zAQfkfiP1h+p2lCu25R02nqGEIa&#10;MDH4AY7jJBaOz5zdpuPXc3a6rsAbwg+Wz3f+/N13d+vrw2DYXqHXYCuez+acKSuh0bar+Levd28u&#10;OfNB2EYYsKriT8rz683rV+vRlaqAHkyjkBGI9eXoKt6H4Mos87JXg/AzcMqSswUcRCATu6xBMRL6&#10;YLJiPr/IRsDGIUjlPd3eTk6+Sfhtq2T43LZeBWYqTtxC2jHtddyzzVqUHQrXa3mkIf6BxSC0pU9P&#10;ULciCLZD/RfUoCWChzbMJAwZtK2WKuVA2eTzP7J57IVTKRcSx7uTTP7/wcpP+wdkuqHaFZxZMVCN&#10;vpBqwnZGMbojgUbnS4p7dA8YU/TuHuR3zyxsewpTN4gw9ko0RCuP8dlvD6Lh6Smrx4/QELzYBUha&#10;HVocIiCpwA6pJE+nkqhDYJIu82KxWq2WnEnyXa4u3s5TzTJRPr926MN7BQOLh4ojkU/oYn/vQ2Qj&#10;yueQ+JmFO21MKruxbKz41bJYpgcejG6iMyWJXb01yPYiNk5aKTVK/zxs0IHa1+iByJ2CRBnVeGeb&#10;9EsQ2kxnYmLsUZ6oyKRsONQHCowy1dA8kVAIU5vSWNGhB/zJ2UgtWnH/YydQcWY+WBL7Kl8sYk8n&#10;Y7FcFWTguac+9wgrCarigbPpuA3THOwc6q6nn/Ikg4UbKlCrk3YvrI68qQ2TpMeRiX1+bqeol8He&#10;/AIAAP//AwBQSwMEFAAGAAgAAAAhABo5kyDeAAAACgEAAA8AAABkcnMvZG93bnJldi54bWxMj8FO&#10;wzAQRO9I/IO1SNyoEwhVCHGqgOi1EgWJ9uYmix01Xkex24S/Z3uC247eaHamXM2uF2ccQ+dJQbpI&#10;QCA1vu3IKPj8WN/lIELU1OreEyr4wQCr6vqq1EXrJ3rH8zYawSEUCq3AxjgUUobGotNh4QckZt9+&#10;dDqyHI1sRz1xuOvlfZIspdMd8QerB3y12By3J6fgbdhv6kcTZP0V7e7oX6a13Rilbm/m+hlExDn+&#10;meFSn6tDxZ0O/kRtEL2CPMuWbGXACy48ydIUxIGvh6ccZFXK/xOqXwAAAP//AwBQSwECLQAUAAYA&#10;CAAAACEAtoM4kv4AAADhAQAAEwAAAAAAAAAAAAAAAAAAAAAAW0NvbnRlbnRfVHlwZXNdLnhtbFBL&#10;AQItABQABgAIAAAAIQA4/SH/1gAAAJQBAAALAAAAAAAAAAAAAAAAAC8BAABfcmVscy8ucmVsc1BL&#10;AQItABQABgAIAAAAIQBmk5cJIgIAACAEAAAOAAAAAAAAAAAAAAAAAC4CAABkcnMvZTJvRG9jLnht&#10;bFBLAQItABQABgAIAAAAIQAaOZMg3gAAAAoBAAAPAAAAAAAAAAAAAAAAAHwEAABkcnMvZG93bnJl&#10;di54bWxQSwUGAAAAAAQABADzAAAAhwUAAAAA&#10;" filled="f">
                <v:textbox>
                  <w:txbxContent>
                    <w:p w14:paraId="5A5B06BF" w14:textId="77777777" w:rsidR="00B03A24" w:rsidRPr="00CF1758" w:rsidRDefault="00B03A24" w:rsidP="00B03A2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CF1758">
                        <w:rPr>
                          <w:rFonts w:ascii="Trebuchet MS" w:eastAsia="Times New Roman" w:hAnsi="Trebuchet MS"/>
                          <w:bCs/>
                          <w:i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Aprobat de: Manager Asociația Grup de Acțiune Locală Gal </w:t>
      </w:r>
      <w:proofErr w:type="spellStart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Tovishat</w:t>
      </w:r>
      <w:proofErr w:type="spellEnd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</w:p>
    <w:p w14:paraId="4F6A5C6F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 _____________________</w:t>
      </w:r>
    </w:p>
    <w:p w14:paraId="3E68FAE5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Semnătura  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5C6E0499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DATA___/_____/____________</w:t>
      </w:r>
    </w:p>
    <w:p w14:paraId="03B34085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EBEE71E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Verificat de: </w:t>
      </w:r>
      <w:r w:rsidR="00CF1B58">
        <w:rPr>
          <w:rFonts w:ascii="Times New Roman" w:hAnsi="Times New Roman" w:cs="Times New Roman"/>
          <w:b/>
          <w:sz w:val="24"/>
          <w:szCs w:val="24"/>
          <w:lang w:val="ro-RO"/>
        </w:rPr>
        <w:t>Expert 2</w: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Asociația Grup de Acțiune Locală Gal </w:t>
      </w:r>
      <w:proofErr w:type="spellStart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Tovishat</w:t>
      </w:r>
      <w:proofErr w:type="spellEnd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</w:p>
    <w:p w14:paraId="4CB5113C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Nume/Prenume______________________</w:t>
      </w:r>
    </w:p>
    <w:p w14:paraId="5963127F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48C97AF6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DATA_____/____/__________________</w:t>
      </w:r>
    </w:p>
    <w:p w14:paraId="747F0DA0" w14:textId="77777777" w:rsidR="0000786E" w:rsidRPr="0000786E" w:rsidRDefault="0000786E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93AA04C" w14:textId="77777777" w:rsidR="00B03A24" w:rsidRPr="0000786E" w:rsidRDefault="00CF1B58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 de: Expert 1 </w:t>
      </w:r>
      <w:r w:rsidR="00B03A24"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Asociația </w:t>
      </w:r>
      <w:r w:rsidR="0000786E"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 de Acțiune Locală Gal </w:t>
      </w:r>
      <w:proofErr w:type="spellStart"/>
      <w:r w:rsidR="0000786E" w:rsidRPr="0000786E">
        <w:rPr>
          <w:rFonts w:ascii="Times New Roman" w:hAnsi="Times New Roman" w:cs="Times New Roman"/>
          <w:b/>
          <w:sz w:val="24"/>
          <w:szCs w:val="24"/>
          <w:lang w:val="ro-RO"/>
        </w:rPr>
        <w:t>Tovishat</w:t>
      </w:r>
      <w:proofErr w:type="spellEnd"/>
      <w:r w:rsidR="0000786E"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</w:p>
    <w:p w14:paraId="6924501C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</w:t>
      </w:r>
    </w:p>
    <w:p w14:paraId="31222D78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073732A2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DATA____/____/___________________</w:t>
      </w:r>
    </w:p>
    <w:p w14:paraId="6B9E22C0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A81EE8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20D6D" wp14:editId="1E59C466">
                <wp:simplePos x="0" y="0"/>
                <wp:positionH relativeFrom="column">
                  <wp:posOffset>4705350</wp:posOffset>
                </wp:positionH>
                <wp:positionV relativeFrom="paragraph">
                  <wp:posOffset>198120</wp:posOffset>
                </wp:positionV>
                <wp:extent cx="1632585" cy="889000"/>
                <wp:effectExtent l="9525" t="7620" r="571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9BDE4" w14:textId="77777777" w:rsidR="00B03A24" w:rsidRPr="0052390A" w:rsidRDefault="00B03A24" w:rsidP="00B03A24">
                            <w:pPr>
                              <w:jc w:val="center"/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</w:pPr>
                            <w:proofErr w:type="spellStart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>Ştampila</w:t>
                            </w:r>
                            <w:proofErr w:type="spellEnd"/>
                          </w:p>
                          <w:p w14:paraId="1066B6F6" w14:textId="77777777" w:rsidR="00B03A24" w:rsidRPr="0052390A" w:rsidRDefault="00B03A24" w:rsidP="00B03A24">
                            <w:pPr>
                              <w:jc w:val="center"/>
                              <w:rPr>
                                <w:rFonts w:ascii="Trebuchet MS" w:hAnsi="Trebuchet MS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20D6D" id="Rectangle 11" o:spid="_x0000_s1027" style="position:absolute;margin-left:370.5pt;margin-top:15.6pt;width:128.55pt;height:7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FfIwIAACcEAAAOAAAAZHJzL2Uyb0RvYy54bWysU1Fv0zAQfkfiP1h+p2lKO9qo6TR1DCEN&#10;mBj8ANdxEgvHZ85uk/Hrd3ba0sEbwg+Wz3f3+bvvzuvroTPsoNBrsCXPJ1POlJVQaduU/Pu3uzdL&#10;znwQthIGrCr5k/L8evP61bp3hZpBC6ZSyAjE+qJ3JW9DcEWWedmqTvgJOGXJWQN2IpCJTVah6Am9&#10;M9lsOr3KesDKIUjlPd3ejk6+Sfh1rWT4UtdeBWZKTtxC2jHtu7hnm7UoGhSu1fJIQ/wDi05oS4+e&#10;oW5FEGyP+i+oTksED3WYSOgyqGstVaqBqsmnf1Tz2AqnUi0kjndnmfz/g5WfDw/IdEW9yzmzoqMe&#10;fSXVhG2MYnRHAvXOFxT36B4wlujdPcgfnlnYthSmbhChb5WoiFaKz14kRMNTKtv1n6AieLEPkLQa&#10;auwiIKnAhtSSp3NL1BCYpMv86u1ssVxwJsm3XK6m09SzTBSnbIc+fFDQsXgoORL5hC4O9z4Qewo9&#10;hcTHLNxpY1LbjWV9yVeL2SIleDC6is5UJDa7rUF2EHFw0opSENiLsE4HGl+jOyJ3DhJFVOO9rdIr&#10;QWgzninZWMI4KTIqG4bdMDbgpPUOqifSC2GcVvpddGgBf3HW06SW3P/cC1ScmY+WNF/l83kc7WTM&#10;F+9mZOClZ3fpEVYSVMkDZ+NxG8bvsHeom5ZeypMaFm6oT7VOEkbGI6sjfZrGJMbx58Rxv7RT1O//&#10;vXkGAAD//wMAUEsDBBQABgAIAAAAIQCMCiid3wAAAAoBAAAPAAAAZHJzL2Rvd25yZXYueG1sTI9N&#10;T8MwDIbvSPyHyEjcWNrxsa00nQpi10kbSMAta0xSrXGqJlvLv8ec4Gj70evnLdeT78QZh9gGUpDP&#10;MhBITTAtWQVvr5ubJYiYNBndBUIF3xhhXV1elLowYaQdnvfJCg6hWGgFLqW+kDI2Dr2Os9Aj8e0r&#10;DF4nHgcrzaBHDvednGfZg/S6Jf7gdI/PDpvj/uQVvPSf2/reRlm/J/dxDE/jxm2tUtdXU/0IIuGU&#10;/mD41Wd1qNjpEE5kougULO5y7pIU3OZzEAysVsscxIHJBW9kVcr/FaofAAAA//8DAFBLAQItABQA&#10;BgAIAAAAIQC2gziS/gAAAOEBAAATAAAAAAAAAAAAAAAAAAAAAABbQ29udGVudF9UeXBlc10ueG1s&#10;UEsBAi0AFAAGAAgAAAAhADj9If/WAAAAlAEAAAsAAAAAAAAAAAAAAAAALwEAAF9yZWxzLy5yZWxz&#10;UEsBAi0AFAAGAAgAAAAhAOJcsV8jAgAAJwQAAA4AAAAAAAAAAAAAAAAALgIAAGRycy9lMm9Eb2Mu&#10;eG1sUEsBAi0AFAAGAAgAAAAhAIwKKJ3fAAAACgEAAA8AAAAAAAAAAAAAAAAAfQQAAGRycy9kb3du&#10;cmV2LnhtbFBLBQYAAAAABAAEAPMAAACJBQAAAAA=&#10;" filled="f">
                <v:textbox>
                  <w:txbxContent>
                    <w:p w14:paraId="4429BDE4" w14:textId="77777777" w:rsidR="00B03A24" w:rsidRPr="0052390A" w:rsidRDefault="00B03A24" w:rsidP="00B03A24">
                      <w:pPr>
                        <w:jc w:val="center"/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</w:pPr>
                      <w:proofErr w:type="spellStart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>Ştampila</w:t>
                      </w:r>
                      <w:proofErr w:type="spellEnd"/>
                    </w:p>
                    <w:p w14:paraId="1066B6F6" w14:textId="77777777" w:rsidR="00B03A24" w:rsidRPr="0052390A" w:rsidRDefault="00B03A24" w:rsidP="00B03A24">
                      <w:pPr>
                        <w:jc w:val="center"/>
                        <w:rPr>
                          <w:rFonts w:ascii="Trebuchet MS" w:hAnsi="Trebuchet MS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Am luat la cunoștință,</w:t>
      </w:r>
    </w:p>
    <w:p w14:paraId="48B66733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Reprezentant legal al solicitantului:</w:t>
      </w:r>
    </w:p>
    <w:p w14:paraId="18A1DCDB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14A2826C" w14:textId="77777777"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397219F0" w14:textId="77777777" w:rsidR="00B03A24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 w:rsidR="00174E73">
        <w:rPr>
          <w:rFonts w:ascii="Times New Roman" w:hAnsi="Times New Roman" w:cs="Times New Roman"/>
          <w:b/>
          <w:i/>
          <w:sz w:val="24"/>
          <w:szCs w:val="24"/>
          <w:lang w:val="ro-RO"/>
        </w:rPr>
        <w:t>ATA____/____/______________</w:t>
      </w:r>
    </w:p>
    <w:p w14:paraId="6959E892" w14:textId="77777777" w:rsidR="007D3557" w:rsidRDefault="007D3557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93C27D2" w14:textId="77777777" w:rsidR="003B34D0" w:rsidRDefault="003B34D0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3D063A7" w14:textId="77777777" w:rsidR="00C927C0" w:rsidRDefault="00C927C0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C8BD8A1" w14:textId="77777777" w:rsidR="00C927C0" w:rsidRDefault="00C927C0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C0285F6" w14:textId="77777777" w:rsidR="00C927C0" w:rsidRDefault="00C927C0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7D9F061" w14:textId="77777777" w:rsidR="00C927C0" w:rsidRDefault="00C927C0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6EE7940D" w14:textId="77777777" w:rsidR="00C927C0" w:rsidRDefault="00C927C0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5279642" w14:textId="77777777" w:rsidR="00C927C0" w:rsidRDefault="00C927C0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ABC2C3C" w14:textId="63190E68" w:rsidR="00C927C0" w:rsidRDefault="00C927C0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34AA730" w14:textId="14DA8C33" w:rsidR="002F1108" w:rsidRDefault="002F1108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F4148D6" w14:textId="2693F816" w:rsidR="008770C8" w:rsidRDefault="008770C8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5A11C44" w14:textId="60C61FFD" w:rsidR="008770C8" w:rsidRDefault="008770C8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BC60B19" w14:textId="67A47DEB" w:rsidR="008770C8" w:rsidRDefault="008770C8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C7F9749" w14:textId="35DB891D" w:rsidR="008770C8" w:rsidRDefault="008770C8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227DCDA" w14:textId="0E505D55" w:rsidR="008770C8" w:rsidRDefault="008770C8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C1939F4" w14:textId="77777777" w:rsidR="008770C8" w:rsidRDefault="008770C8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FF9AD7F" w14:textId="77777777" w:rsidR="00C927C0" w:rsidRDefault="00C927C0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6881C7B6" w14:textId="4ED26D7B" w:rsidR="007D3557" w:rsidRDefault="007D3557" w:rsidP="007D35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7D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lastRenderedPageBreak/>
        <w:t xml:space="preserve">Metodologie de aplicat pentru evaluarea criteriilor de </w:t>
      </w:r>
      <w:proofErr w:type="spellStart"/>
      <w:r w:rsidRPr="007D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selecţie</w:t>
      </w:r>
      <w:proofErr w:type="spellEnd"/>
      <w:r w:rsidR="00BC1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M 7.3</w:t>
      </w:r>
    </w:p>
    <w:p w14:paraId="79BEDB3A" w14:textId="77777777" w:rsidR="00203160" w:rsidRDefault="00203160" w:rsidP="007D35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14:paraId="4B68490D" w14:textId="77777777" w:rsidR="00203160" w:rsidRPr="002F1108" w:rsidRDefault="00203160" w:rsidP="0020316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funcție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investițiile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pe care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solicitantul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dorește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finanțeze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accesarea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măsurii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criteriile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selecție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diferă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2F110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AC7674A" w14:textId="77777777" w:rsidR="00203160" w:rsidRPr="002F1108" w:rsidRDefault="00203160" w:rsidP="00203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08">
        <w:rPr>
          <w:rFonts w:ascii="Times New Roman" w:hAnsi="Times New Roman" w:cs="Times New Roman"/>
          <w:b/>
          <w:sz w:val="24"/>
          <w:szCs w:val="24"/>
        </w:rPr>
        <w:t>1.</w:t>
      </w:r>
      <w:r w:rsidRPr="002F110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tipurile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cheltuielile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eligibile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capitolului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punctele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a)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b),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punctajul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calculează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următoarelor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principii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criterii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F1108">
        <w:rPr>
          <w:rFonts w:ascii="Times New Roman" w:hAnsi="Times New Roman" w:cs="Times New Roman"/>
          <w:b/>
          <w:sz w:val="24"/>
          <w:szCs w:val="24"/>
        </w:rPr>
        <w:t>selecţie</w:t>
      </w:r>
      <w:proofErr w:type="spellEnd"/>
      <w:r w:rsidRPr="002F1108">
        <w:rPr>
          <w:rFonts w:ascii="Times New Roman" w:hAnsi="Times New Roman" w:cs="Times New Roman"/>
          <w:b/>
          <w:sz w:val="24"/>
          <w:szCs w:val="24"/>
        </w:rPr>
        <w:t>:</w:t>
      </w:r>
    </w:p>
    <w:p w14:paraId="55D78481" w14:textId="77777777" w:rsidR="007D3557" w:rsidRDefault="007D3557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033E93" w14:textId="33CD239D" w:rsidR="00BC1C13" w:rsidRPr="00BC1C13" w:rsidRDefault="00203160" w:rsidP="003B3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CS </w:t>
      </w:r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UAT-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uri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cu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indice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dezvoltare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local</w:t>
      </w:r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ro-RO"/>
        </w:rPr>
        <w:t>ă IDUL sub 55</w:t>
      </w:r>
    </w:p>
    <w:tbl>
      <w:tblPr>
        <w:tblW w:w="105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4"/>
        <w:gridCol w:w="6480"/>
      </w:tblGrid>
      <w:tr w:rsidR="00A93B2E" w:rsidRPr="004645C6" w14:paraId="069A148C" w14:textId="77777777" w:rsidTr="00A93B2E">
        <w:trPr>
          <w:trHeight w:val="607"/>
        </w:trPr>
        <w:tc>
          <w:tcPr>
            <w:tcW w:w="4064" w:type="dxa"/>
            <w:shd w:val="clear" w:color="auto" w:fill="00B0F0"/>
          </w:tcPr>
          <w:p w14:paraId="3F8474F4" w14:textId="77777777" w:rsidR="00A93B2E" w:rsidRPr="004645C6" w:rsidRDefault="00A93B2E" w:rsidP="001509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480" w:type="dxa"/>
            <w:shd w:val="clear" w:color="auto" w:fill="00B0F0"/>
          </w:tcPr>
          <w:p w14:paraId="57878F87" w14:textId="77777777" w:rsidR="00A93B2E" w:rsidRPr="004645C6" w:rsidRDefault="00A93B2E" w:rsidP="001509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PUNCTE DE </w:t>
            </w: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fr-FR"/>
              </w:rPr>
              <w:t>VERIFICAT</w:t>
            </w: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ÎN CADRUL DOCUMENTELOR  PREZENTATE</w:t>
            </w:r>
          </w:p>
        </w:tc>
      </w:tr>
      <w:tr w:rsidR="00A93B2E" w:rsidRPr="004645C6" w14:paraId="6862477E" w14:textId="77777777" w:rsidTr="00A93B2E">
        <w:tc>
          <w:tcPr>
            <w:tcW w:w="4064" w:type="dxa"/>
            <w:shd w:val="clear" w:color="auto" w:fill="auto"/>
          </w:tcPr>
          <w:p w14:paraId="601304EA" w14:textId="77777777" w:rsidR="00A93B2E" w:rsidRPr="004645C6" w:rsidRDefault="00A93B2E" w:rsidP="00A93B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stabilirea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potențialului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socio</w:t>
            </w:r>
            <w:r w:rsidRPr="00797A29">
              <w:rPr>
                <w:rFonts w:ascii="Cambria Math" w:hAnsi="Cambria Math" w:cs="Cambria Math"/>
                <w:b/>
                <w:bCs/>
                <w:i/>
                <w:iCs/>
                <w:sz w:val="24"/>
                <w:szCs w:val="24"/>
              </w:rPr>
              <w:t>‐</w:t>
            </w:r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economic</w:t>
            </w:r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dezvoltare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al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zonelor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rurale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6480" w:type="dxa"/>
            <w:shd w:val="clear" w:color="auto" w:fill="auto"/>
          </w:tcPr>
          <w:p w14:paraId="54B07ED7" w14:textId="77777777" w:rsidR="00A93B2E" w:rsidRDefault="00A93B2E" w:rsidP="00A93B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verifică: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socio</w:t>
            </w:r>
            <w:r w:rsidRPr="00797A29">
              <w:rPr>
                <w:rFonts w:ascii="Cambria Math" w:hAnsi="Cambria Math" w:cs="Cambria Math"/>
                <w:sz w:val="24"/>
                <w:szCs w:val="24"/>
              </w:rPr>
              <w:t>‐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zonei</w:t>
            </w:r>
            <w:proofErr w:type="spellEnd"/>
          </w:p>
          <w:p w14:paraId="11FEE549" w14:textId="77777777" w:rsidR="00A93B2E" w:rsidRDefault="00A93B2E" w:rsidP="00A93B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Se are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ierarhia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UAT-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urilor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potenţialul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socio</w:t>
            </w:r>
            <w:r w:rsidRPr="00797A2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economic de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zonelor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rurale.Se</w:t>
            </w:r>
            <w:proofErr w:type="spellEnd"/>
            <w:proofErr w:type="gram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lua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considera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AED990" w14:textId="77777777" w:rsidR="00A93B2E" w:rsidRDefault="00A93B2E" w:rsidP="00A93B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Verificarea se face consultând Anexa 8 </w:t>
            </w:r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stabilirea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potențialului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socio</w:t>
            </w:r>
            <w:r w:rsidRPr="00797A29">
              <w:rPr>
                <w:rFonts w:ascii="Cambria Math" w:hAnsi="Cambria Math" w:cs="Cambria Math"/>
                <w:b/>
                <w:bCs/>
                <w:i/>
                <w:iCs/>
                <w:sz w:val="24"/>
                <w:szCs w:val="24"/>
              </w:rPr>
              <w:t>‐</w:t>
            </w:r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economic</w:t>
            </w:r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dezvoltare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al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zonelor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rurale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D646C" w14:textId="77777777" w:rsidR="00A93B2E" w:rsidRPr="00A93B2E" w:rsidRDefault="00A93B2E" w:rsidP="00A93B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primi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puncta</w:t>
            </w:r>
            <w:r w:rsidR="00C927C0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proofErr w:type="spellEnd"/>
            <w:r w:rsidR="00C927C0">
              <w:rPr>
                <w:rFonts w:ascii="Times New Roman" w:hAnsi="Times New Roman" w:cs="Times New Roman"/>
                <w:sz w:val="24"/>
                <w:szCs w:val="24"/>
              </w:rPr>
              <w:t xml:space="preserve"> de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unităţile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teritoriale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au IDUL sub 55.</w:t>
            </w:r>
          </w:p>
        </w:tc>
      </w:tr>
    </w:tbl>
    <w:p w14:paraId="1D5D98D3" w14:textId="77777777" w:rsidR="00A93B2E" w:rsidRDefault="00A93B2E" w:rsidP="003B3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C8748" w14:textId="240F9CA4" w:rsidR="00BC1C13" w:rsidRPr="00BC1C13" w:rsidRDefault="00203160" w:rsidP="00BC1C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 </w:t>
      </w:r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>deservesc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 xml:space="preserve"> UAT-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>uri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 xml:space="preserve"> cu o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>populație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>cât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 xml:space="preserve"> mare </w:t>
      </w:r>
    </w:p>
    <w:p w14:paraId="1D9EAA94" w14:textId="77777777" w:rsidR="003B34D0" w:rsidRDefault="003B34D0" w:rsidP="003B3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480"/>
      </w:tblGrid>
      <w:tr w:rsidR="004645C6" w:rsidRPr="004645C6" w14:paraId="509462C4" w14:textId="77777777" w:rsidTr="00773A42">
        <w:trPr>
          <w:trHeight w:val="607"/>
        </w:trPr>
        <w:tc>
          <w:tcPr>
            <w:tcW w:w="4050" w:type="dxa"/>
            <w:shd w:val="clear" w:color="auto" w:fill="00B0F0"/>
          </w:tcPr>
          <w:p w14:paraId="6B02A5F0" w14:textId="77777777" w:rsidR="004645C6" w:rsidRPr="004645C6" w:rsidRDefault="004645C6" w:rsidP="00773A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480" w:type="dxa"/>
            <w:shd w:val="clear" w:color="auto" w:fill="00B0F0"/>
          </w:tcPr>
          <w:p w14:paraId="5FA4CE8A" w14:textId="77777777" w:rsidR="004645C6" w:rsidRPr="004645C6" w:rsidRDefault="004645C6" w:rsidP="00773A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PUNCTE DE </w:t>
            </w: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fr-FR"/>
              </w:rPr>
              <w:t>VERIFICAT</w:t>
            </w: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ÎN CADRUL DOCUMENTELOR  PREZENTATE</w:t>
            </w:r>
          </w:p>
        </w:tc>
      </w:tr>
      <w:tr w:rsidR="004645C6" w:rsidRPr="004645C6" w14:paraId="1A378F73" w14:textId="77777777" w:rsidTr="00773A42">
        <w:tc>
          <w:tcPr>
            <w:tcW w:w="4050" w:type="dxa"/>
            <w:shd w:val="clear" w:color="auto" w:fill="auto"/>
          </w:tcPr>
          <w:p w14:paraId="679DE2DA" w14:textId="77777777" w:rsidR="004645C6" w:rsidRPr="004645C6" w:rsidRDefault="008D6D90" w:rsidP="00464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  <w:r w:rsidR="004645C6"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Rezultatul final al recensământului </w:t>
            </w:r>
            <w:proofErr w:type="spellStart"/>
            <w:r w:rsidR="004645C6"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populaţiei</w:t>
            </w:r>
            <w:proofErr w:type="spellEnd"/>
            <w:r w:rsidR="004645C6"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645C6"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4645C6"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645C6"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locuinţelor</w:t>
            </w:r>
            <w:proofErr w:type="spellEnd"/>
            <w:r w:rsidR="004645C6"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anul 2011 - Tabelul nr.3</w:t>
            </w:r>
            <w:hyperlink r:id="rId7" w:tooltip="sR_Tab_3" w:history="1">
              <w:r w:rsidR="004645C6" w:rsidRPr="004645C6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 „</w:t>
              </w:r>
              <w:proofErr w:type="spellStart"/>
              <w:r w:rsidR="004645C6" w:rsidRPr="004645C6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Populaţia</w:t>
              </w:r>
              <w:proofErr w:type="spellEnd"/>
              <w:r w:rsidR="004645C6" w:rsidRPr="004645C6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 stabilă pe sexe </w:t>
              </w:r>
              <w:proofErr w:type="spellStart"/>
              <w:r w:rsidR="004645C6" w:rsidRPr="004645C6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şi</w:t>
              </w:r>
              <w:proofErr w:type="spellEnd"/>
              <w:r w:rsidR="004645C6" w:rsidRPr="004645C6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 grupe de vârstă - </w:t>
              </w:r>
              <w:proofErr w:type="spellStart"/>
              <w:r w:rsidR="004645C6" w:rsidRPr="004645C6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judeţe</w:t>
              </w:r>
              <w:proofErr w:type="spellEnd"/>
              <w:r w:rsidR="004645C6" w:rsidRPr="004645C6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, municipii, </w:t>
              </w:r>
              <w:proofErr w:type="spellStart"/>
              <w:r w:rsidR="004645C6" w:rsidRPr="004645C6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oraşe</w:t>
              </w:r>
              <w:proofErr w:type="spellEnd"/>
              <w:r w:rsidR="004645C6" w:rsidRPr="004645C6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, comune”</w:t>
              </w:r>
            </w:hyperlink>
          </w:p>
          <w:p w14:paraId="2F14A362" w14:textId="77777777" w:rsidR="004645C6" w:rsidRPr="00C927C0" w:rsidRDefault="004645C6" w:rsidP="00464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Studiul de Fezabilitate/ </w:t>
            </w:r>
            <w:proofErr w:type="spellStart"/>
            <w:r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Documentaţia</w:t>
            </w:r>
            <w:proofErr w:type="spellEnd"/>
            <w:r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Avizare pentru Lucrări de </w:t>
            </w:r>
            <w:proofErr w:type="spellStart"/>
            <w:r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Intervenţii</w:t>
            </w:r>
            <w:proofErr w:type="spellEnd"/>
            <w:r w:rsidRPr="00464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45CCA671" w14:textId="77777777" w:rsidR="004645C6" w:rsidRPr="004645C6" w:rsidRDefault="004645C6" w:rsidP="0046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 verifică dacă</w:t>
            </w:r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93B2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71A0D99" w14:textId="77777777" w:rsidR="004645C6" w:rsidRPr="00C927C0" w:rsidRDefault="004645C6" w:rsidP="0046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numărul total al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populaţiei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comunei este conform Rezultatului final al recensământului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populaţiei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locuinţelor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din anul 2011 - Tabelul nr.3 „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Populaţia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stabilă pe sexe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grupe de vârstă -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judeţe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municipii,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comune”, (se va consulta coloana nr.1), Anexa 7</w:t>
            </w:r>
          </w:p>
          <w:p w14:paraId="1D888A8A" w14:textId="77777777" w:rsidR="0065742D" w:rsidRPr="004645C6" w:rsidRDefault="0065742D" w:rsidP="00464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va acorda punctaj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numărul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</w:t>
            </w:r>
            <w:r w:rsidR="00C927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laţiei</w:t>
            </w:r>
            <w:proofErr w:type="spellEnd"/>
            <w:r w:rsidR="00C927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deservite prin proiect conform departajării din criteriul de </w:t>
            </w:r>
            <w:proofErr w:type="spellStart"/>
            <w:r w:rsidR="00C927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selecţie</w:t>
            </w:r>
            <w:proofErr w:type="spellEnd"/>
          </w:p>
        </w:tc>
      </w:tr>
    </w:tbl>
    <w:p w14:paraId="6086F4E9" w14:textId="77777777" w:rsidR="00BC1C13" w:rsidRDefault="00BC1C13" w:rsidP="00C927C0">
      <w:pPr>
        <w:tabs>
          <w:tab w:val="left" w:pos="77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9E3B1C" w14:textId="77777777" w:rsidR="00203160" w:rsidRDefault="00203160" w:rsidP="00C927C0">
      <w:pPr>
        <w:tabs>
          <w:tab w:val="left" w:pos="77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391816" w14:textId="77777777" w:rsidR="00203160" w:rsidRDefault="00203160" w:rsidP="00C927C0">
      <w:pPr>
        <w:tabs>
          <w:tab w:val="left" w:pos="77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6E6916" w14:textId="264E8B0C" w:rsidR="007D3557" w:rsidRDefault="00C927C0" w:rsidP="00C927C0">
      <w:pPr>
        <w:tabs>
          <w:tab w:val="left" w:pos="77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0AC22DB0" w14:textId="78FC1363" w:rsidR="003B34D0" w:rsidRPr="00BC1C13" w:rsidRDefault="00203160" w:rsidP="003B3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CS </w:t>
      </w:r>
      <w:r w:rsidR="00BC1C13" w:rsidRPr="00BC1C1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Prioritizarea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investițiilor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care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sau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dezvoltă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rețele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broadband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în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zonele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cu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potențial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turistic</w:t>
      </w:r>
      <w:proofErr w:type="spellEnd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bCs/>
          <w:sz w:val="24"/>
          <w:szCs w:val="24"/>
          <w:lang w:val="en-GB"/>
        </w:rPr>
        <w:t>ridicat</w:t>
      </w:r>
      <w:proofErr w:type="spellEnd"/>
    </w:p>
    <w:tbl>
      <w:tblPr>
        <w:tblW w:w="106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5"/>
      </w:tblGrid>
      <w:tr w:rsidR="008D6D90" w:rsidRPr="0065742D" w14:paraId="3FC7D70E" w14:textId="77777777" w:rsidTr="00942ABF">
        <w:tc>
          <w:tcPr>
            <w:tcW w:w="3119" w:type="dxa"/>
            <w:shd w:val="clear" w:color="auto" w:fill="00B0F0"/>
          </w:tcPr>
          <w:p w14:paraId="565F715C" w14:textId="77777777" w:rsidR="008D6D90" w:rsidRPr="0065742D" w:rsidRDefault="008D6D90" w:rsidP="001509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65742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515" w:type="dxa"/>
            <w:shd w:val="clear" w:color="auto" w:fill="00B0F0"/>
          </w:tcPr>
          <w:p w14:paraId="268CA7A5" w14:textId="77777777" w:rsidR="0065742D" w:rsidRDefault="008D6D90" w:rsidP="0065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5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PUNCTE DE VERIFICAT ÎN CADRUL </w:t>
            </w:r>
          </w:p>
          <w:p w14:paraId="7D083AE1" w14:textId="77777777" w:rsidR="008D6D90" w:rsidRPr="0065742D" w:rsidRDefault="008D6D90" w:rsidP="0065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5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DOCUMENTELOR  PREZENTATE</w:t>
            </w:r>
          </w:p>
        </w:tc>
      </w:tr>
      <w:tr w:rsidR="00BC1C13" w:rsidRPr="0065742D" w14:paraId="5967B46A" w14:textId="77777777" w:rsidTr="00942ABF">
        <w:tc>
          <w:tcPr>
            <w:tcW w:w="3119" w:type="dxa"/>
          </w:tcPr>
          <w:p w14:paraId="7091FDBD" w14:textId="77777777" w:rsidR="00BC1C13" w:rsidRPr="00797A29" w:rsidRDefault="00BC1C13" w:rsidP="005B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– Lista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potenţ</w:t>
            </w:r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turistic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ridicat</w:t>
            </w:r>
            <w:proofErr w:type="spellEnd"/>
          </w:p>
        </w:tc>
        <w:tc>
          <w:tcPr>
            <w:tcW w:w="7515" w:type="dxa"/>
          </w:tcPr>
          <w:p w14:paraId="2BC02AB5" w14:textId="77777777" w:rsidR="00BC1C13" w:rsidRDefault="00BC1C13" w:rsidP="005B4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acordă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UAT-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urilor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care au potential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turistic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ridicat.Verificarea</w:t>
            </w:r>
            <w:proofErr w:type="spellEnd"/>
            <w:proofErr w:type="gram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face conform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Anexei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9 – Lista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zonelor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cu potential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turistic</w:t>
            </w:r>
            <w:proofErr w:type="spellEnd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29">
              <w:rPr>
                <w:rFonts w:ascii="Times New Roman" w:hAnsi="Times New Roman" w:cs="Times New Roman"/>
                <w:sz w:val="24"/>
                <w:szCs w:val="24"/>
              </w:rPr>
              <w:t>ridicat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31CBA" w14:textId="77777777" w:rsidR="00BC1C13" w:rsidRPr="00BC1C13" w:rsidRDefault="00BC1C13" w:rsidP="00BC1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Punctajul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acordat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acestui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criteriu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calculează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funcție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amplasamentul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investiției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comuna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14:paraId="71E1BD2C" w14:textId="77777777" w:rsidR="00BC1C13" w:rsidRPr="00BC1C13" w:rsidRDefault="00BC1C13" w:rsidP="00BC1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cazul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UAT-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uri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Gal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Tovishat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punctajul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 de max. 20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7C232443" w14:textId="77777777" w:rsidR="00BC1C13" w:rsidRPr="00BC1C13" w:rsidRDefault="00BC1C13" w:rsidP="00BC1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Pentru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fiecare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UAT se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calcula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punctajul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aferent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aplicându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-se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următoarea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formulă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calcul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6B33121A" w14:textId="77777777" w:rsidR="00BC1C13" w:rsidRPr="00BC1C13" w:rsidRDefault="00BC1C13" w:rsidP="00BC1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Cmrt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*20 /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Punctaj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= </w:t>
            </w:r>
            <w:proofErr w:type="spellStart"/>
            <w:r w:rsidRPr="00BC1C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Punctaj</w:t>
            </w:r>
            <w:proofErr w:type="spellEnd"/>
            <w:r w:rsidRPr="00BC1C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final</w:t>
            </w:r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(cu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două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zecimale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14:paraId="214A61B7" w14:textId="77777777" w:rsidR="00BC1C13" w:rsidRPr="00BC1C13" w:rsidRDefault="00BC1C13" w:rsidP="00BC1C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Cmrt-Concentrare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mare de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resurse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turistice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3D935D1B" w14:textId="77777777" w:rsidR="00BC1C13" w:rsidRPr="00BC1C13" w:rsidRDefault="00BC1C13" w:rsidP="005B4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Notă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Punctajul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maxim al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Cmrt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conform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Listei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comunelor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potențial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turistic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Gal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Tovishat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31.5 de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7A813E04" w14:textId="77777777" w:rsidR="003B34D0" w:rsidRDefault="003B34D0" w:rsidP="003B3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514CA" w14:textId="2E38FA1D" w:rsidR="003B34D0" w:rsidRPr="00BC1C13" w:rsidRDefault="00203160" w:rsidP="003B3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CS </w:t>
      </w:r>
      <w:r w:rsidR="003B34D0" w:rsidRPr="00BC1C13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BC1C13" w:rsidRPr="00BC1C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BC1C13" w:rsidRPr="00BC1C13">
        <w:rPr>
          <w:rFonts w:ascii="Times New Roman" w:hAnsi="Times New Roman" w:cs="Times New Roman"/>
          <w:b/>
          <w:sz w:val="24"/>
          <w:szCs w:val="24"/>
          <w:lang w:val="en-GB"/>
        </w:rPr>
        <w:t>Proiectele</w:t>
      </w:r>
      <w:proofErr w:type="spellEnd"/>
      <w:r w:rsidR="00BC1C13" w:rsidRPr="00BC1C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</w:t>
      </w:r>
      <w:r w:rsidR="00BC1C13" w:rsidRPr="00BC1C13">
        <w:rPr>
          <w:rFonts w:ascii="Times New Roman" w:hAnsi="Times New Roman" w:cs="Times New Roman"/>
          <w:b/>
          <w:sz w:val="24"/>
          <w:szCs w:val="24"/>
          <w:lang w:val="ro-RO"/>
        </w:rPr>
        <w:t>căror soluție tehnică oferă cea mai mare viteză de transfer a datelor pentru utilizatorul final</w:t>
      </w:r>
    </w:p>
    <w:tbl>
      <w:tblPr>
        <w:tblW w:w="106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5"/>
      </w:tblGrid>
      <w:tr w:rsidR="008D6D90" w:rsidRPr="00A73745" w14:paraId="34EE62C2" w14:textId="77777777" w:rsidTr="00942ABF">
        <w:tc>
          <w:tcPr>
            <w:tcW w:w="3119" w:type="dxa"/>
            <w:shd w:val="clear" w:color="auto" w:fill="00B0F0"/>
          </w:tcPr>
          <w:p w14:paraId="4E6B749B" w14:textId="77777777" w:rsidR="008D6D90" w:rsidRPr="00A73745" w:rsidRDefault="008D6D90" w:rsidP="001509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A7374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515" w:type="dxa"/>
            <w:shd w:val="clear" w:color="auto" w:fill="00B0F0"/>
          </w:tcPr>
          <w:p w14:paraId="0B653561" w14:textId="77777777" w:rsidR="00A73745" w:rsidRDefault="008D6D90" w:rsidP="0015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PUNCTE DE VERIFICAT ÎN CADRUL </w:t>
            </w:r>
          </w:p>
          <w:p w14:paraId="44BD8043" w14:textId="77777777" w:rsidR="008D6D90" w:rsidRPr="00A73745" w:rsidRDefault="008D6D90" w:rsidP="0015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DOCUMENTELOR  PREZENTATE</w:t>
            </w:r>
          </w:p>
        </w:tc>
      </w:tr>
      <w:tr w:rsidR="008D6D90" w:rsidRPr="00A73745" w14:paraId="554D845E" w14:textId="77777777" w:rsidTr="00942ABF">
        <w:tc>
          <w:tcPr>
            <w:tcW w:w="3119" w:type="dxa"/>
          </w:tcPr>
          <w:p w14:paraId="384F6CD7" w14:textId="77777777" w:rsidR="008D6D90" w:rsidRDefault="008D6D90" w:rsidP="0015092C">
            <w:pPr>
              <w:keepNext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737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de Fezabilitate/Documentația de Avizare pentru Lucrări de Intervenții/Memoriul justificativ</w:t>
            </w:r>
          </w:p>
          <w:p w14:paraId="5A0F4F11" w14:textId="77777777" w:rsidR="008D6D90" w:rsidRPr="00A73745" w:rsidRDefault="00BC1C13" w:rsidP="0015092C">
            <w:pPr>
              <w:keepNext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Avizul INSCC</w:t>
            </w:r>
          </w:p>
        </w:tc>
        <w:tc>
          <w:tcPr>
            <w:tcW w:w="7515" w:type="dxa"/>
          </w:tcPr>
          <w:p w14:paraId="18592CA6" w14:textId="77777777" w:rsidR="008D6D90" w:rsidRDefault="00BC1C13" w:rsidP="0015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viteza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de transfer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prevăzută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documentația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tehnică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repectiv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Memoriu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justificativ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avizul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INSCC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129E3E" w14:textId="77777777" w:rsidR="00BC1C13" w:rsidRPr="00BC1C13" w:rsidRDefault="00BC1C13" w:rsidP="0015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va acorda punctaj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viteza de transfer</w:t>
            </w:r>
            <w:r w:rsidR="005A6E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datelor pentru utilizatorul final prevăzută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proiect</w:t>
            </w:r>
            <w:r w:rsidR="005A6E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conform departajării din criteriul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selecţie</w:t>
            </w:r>
            <w:proofErr w:type="spellEnd"/>
            <w:r w:rsidR="005A6E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14:paraId="19DBEDCE" w14:textId="77777777" w:rsidR="003B34D0" w:rsidRDefault="003B34D0" w:rsidP="003B3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FA9480" w14:textId="77777777" w:rsidR="00203160" w:rsidRDefault="00203160" w:rsidP="0020316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AF59091" w14:textId="77777777" w:rsidR="00203160" w:rsidRDefault="00203160" w:rsidP="0020316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216677A" w14:textId="77777777" w:rsidR="00203160" w:rsidRDefault="00203160" w:rsidP="0020316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083DFF" w14:textId="77777777" w:rsidR="00203160" w:rsidRDefault="00203160" w:rsidP="0020316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BFA8C9B" w14:textId="77777777" w:rsidR="00203160" w:rsidRDefault="00203160" w:rsidP="0020316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A9AEC8E" w14:textId="77777777" w:rsidR="00203160" w:rsidRDefault="00203160" w:rsidP="0020316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8BE960" w14:textId="77777777" w:rsidR="00203160" w:rsidRDefault="00203160" w:rsidP="0020316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3C76FF7" w14:textId="7471A9CC" w:rsidR="00203160" w:rsidRPr="00203160" w:rsidRDefault="00203160" w:rsidP="0020316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tipurile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investiții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cheltuielile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eligibile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aferente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capitolului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6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punctul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c</w:t>
      </w:r>
      <w:proofErr w:type="gramStart"/>
      <w:r w:rsidRPr="00203160">
        <w:rPr>
          <w:rFonts w:ascii="Times New Roman" w:hAnsi="Times New Roman"/>
          <w:b/>
          <w:bCs/>
          <w:sz w:val="24"/>
          <w:szCs w:val="24"/>
        </w:rPr>
        <w:t>) ,</w:t>
      </w:r>
      <w:proofErr w:type="gram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punctajul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proiectului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calculează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baza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următoarelor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principii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criterii</w:t>
      </w:r>
      <w:proofErr w:type="spellEnd"/>
      <w:r w:rsidRPr="0020316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03160">
        <w:rPr>
          <w:rFonts w:ascii="Times New Roman" w:hAnsi="Times New Roman"/>
          <w:b/>
          <w:bCs/>
          <w:sz w:val="24"/>
          <w:szCs w:val="24"/>
        </w:rPr>
        <w:t>selecţie</w:t>
      </w:r>
      <w:proofErr w:type="spellEnd"/>
      <w:r w:rsidRPr="00203160">
        <w:rPr>
          <w:rFonts w:ascii="Times New Roman" w:hAnsi="Times New Roman"/>
          <w:b/>
          <w:bCs/>
        </w:rPr>
        <w:t>:</w:t>
      </w:r>
    </w:p>
    <w:p w14:paraId="1D91460D" w14:textId="3A88A2EE" w:rsidR="00203160" w:rsidRPr="00BC1C13" w:rsidRDefault="00203160" w:rsidP="0020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CS 1</w:t>
      </w:r>
      <w:r w:rsidRPr="00BC1C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203160">
        <w:rPr>
          <w:rFonts w:ascii="Times New Roman" w:hAnsi="Times New Roman" w:cs="Times New Roman"/>
          <w:b/>
          <w:sz w:val="24"/>
          <w:szCs w:val="24"/>
          <w:lang w:val="ro-RO"/>
        </w:rPr>
        <w:t>Numărul UAT-urilor beneficiare ale proiectului</w:t>
      </w:r>
    </w:p>
    <w:tbl>
      <w:tblPr>
        <w:tblW w:w="106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5"/>
      </w:tblGrid>
      <w:tr w:rsidR="00203160" w:rsidRPr="00A73745" w14:paraId="6C592EE1" w14:textId="77777777" w:rsidTr="00D112CB">
        <w:tc>
          <w:tcPr>
            <w:tcW w:w="3119" w:type="dxa"/>
            <w:shd w:val="clear" w:color="auto" w:fill="00B0F0"/>
          </w:tcPr>
          <w:p w14:paraId="69391685" w14:textId="77777777" w:rsidR="00203160" w:rsidRPr="00A73745" w:rsidRDefault="00203160" w:rsidP="00D112C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A7374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515" w:type="dxa"/>
            <w:shd w:val="clear" w:color="auto" w:fill="00B0F0"/>
          </w:tcPr>
          <w:p w14:paraId="4E21D631" w14:textId="77777777" w:rsidR="00203160" w:rsidRDefault="00203160" w:rsidP="00D1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PUNCTE DE VERIFICAT ÎN CADRUL </w:t>
            </w:r>
          </w:p>
          <w:p w14:paraId="0322E288" w14:textId="77777777" w:rsidR="00203160" w:rsidRPr="00A73745" w:rsidRDefault="00203160" w:rsidP="00D1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DOCUMENTELOR  PREZENTATE</w:t>
            </w:r>
          </w:p>
        </w:tc>
      </w:tr>
      <w:tr w:rsidR="00203160" w:rsidRPr="00A73745" w14:paraId="61C6D2AE" w14:textId="77777777" w:rsidTr="00D112CB">
        <w:tc>
          <w:tcPr>
            <w:tcW w:w="3119" w:type="dxa"/>
          </w:tcPr>
          <w:p w14:paraId="2EB0F55D" w14:textId="77777777" w:rsidR="00203160" w:rsidRDefault="00203160" w:rsidP="00D112CB">
            <w:pPr>
              <w:keepNext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de fezabilitate</w:t>
            </w:r>
          </w:p>
          <w:p w14:paraId="24154D66" w14:textId="201396AC" w:rsidR="00203160" w:rsidRPr="00A73745" w:rsidRDefault="00203160" w:rsidP="00D112CB">
            <w:pPr>
              <w:keepNext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Memoriu justificativ</w:t>
            </w:r>
          </w:p>
        </w:tc>
        <w:tc>
          <w:tcPr>
            <w:tcW w:w="7515" w:type="dxa"/>
          </w:tcPr>
          <w:p w14:paraId="29028096" w14:textId="77777777" w:rsidR="00BC4B02" w:rsidRDefault="00BC4B02" w:rsidP="00AB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lua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de UAT-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beneficia de pe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implementării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. 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consideră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un UAT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beneficiază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investițiile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domiciliate </w:t>
            </w:r>
            <w:r w:rsidRPr="00BC4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UAT vor fi beneficiarii indirecți ai serviciilor TIC. </w:t>
            </w:r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informația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Memoriul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justificativ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Pr="00BC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7E988" w14:textId="013EC042" w:rsidR="00BC4B02" w:rsidRPr="00BC4B02" w:rsidRDefault="00BC4B02" w:rsidP="00AB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va acorda punctaj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numărul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UAT-uri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deservite prin proiect conform departajării din criteriul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14:paraId="6941B2CE" w14:textId="18756A3F" w:rsidR="00203160" w:rsidRDefault="00203160" w:rsidP="003B3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79AB75" w14:textId="77777777" w:rsidR="00203160" w:rsidRDefault="00203160" w:rsidP="003B3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3D2E45" w14:textId="2688778C" w:rsidR="00203160" w:rsidRPr="00AB1691" w:rsidRDefault="00203160" w:rsidP="00AB169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CS 2</w:t>
      </w:r>
      <w:r w:rsidRPr="00BC1C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AB1691" w:rsidRPr="00AB16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Principiul gradului de deservire a populației - Dimensiunea grupului </w:t>
      </w:r>
      <w:proofErr w:type="spellStart"/>
      <w:r w:rsidR="00AB1691" w:rsidRPr="00AB1691">
        <w:rPr>
          <w:rFonts w:ascii="Times New Roman" w:hAnsi="Times New Roman" w:cs="Times New Roman"/>
          <w:b/>
          <w:sz w:val="24"/>
          <w:szCs w:val="24"/>
          <w:lang w:val="ro-RO"/>
        </w:rPr>
        <w:t>ţintă</w:t>
      </w:r>
      <w:proofErr w:type="spellEnd"/>
      <w:r w:rsidR="00AB1691" w:rsidRPr="00AB16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(minim 30)</w:t>
      </w:r>
    </w:p>
    <w:tbl>
      <w:tblPr>
        <w:tblW w:w="106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5"/>
      </w:tblGrid>
      <w:tr w:rsidR="00203160" w:rsidRPr="00A73745" w14:paraId="77708082" w14:textId="77777777" w:rsidTr="00D112CB">
        <w:tc>
          <w:tcPr>
            <w:tcW w:w="3119" w:type="dxa"/>
            <w:shd w:val="clear" w:color="auto" w:fill="00B0F0"/>
          </w:tcPr>
          <w:p w14:paraId="4D24D60C" w14:textId="77777777" w:rsidR="00203160" w:rsidRPr="00A73745" w:rsidRDefault="00203160" w:rsidP="00D112C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A7374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515" w:type="dxa"/>
            <w:shd w:val="clear" w:color="auto" w:fill="00B0F0"/>
          </w:tcPr>
          <w:p w14:paraId="1934610E" w14:textId="77777777" w:rsidR="00203160" w:rsidRDefault="00203160" w:rsidP="00D1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PUNCTE DE VERIFICAT ÎN CADRUL </w:t>
            </w:r>
          </w:p>
          <w:p w14:paraId="097C0FA2" w14:textId="77777777" w:rsidR="00203160" w:rsidRPr="00A73745" w:rsidRDefault="00203160" w:rsidP="00D1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DOCUMENTELOR  PREZENTATE</w:t>
            </w:r>
          </w:p>
        </w:tc>
      </w:tr>
      <w:tr w:rsidR="00AB1691" w:rsidRPr="00A73745" w14:paraId="10FE8E86" w14:textId="77777777" w:rsidTr="00D112CB">
        <w:tc>
          <w:tcPr>
            <w:tcW w:w="3119" w:type="dxa"/>
          </w:tcPr>
          <w:p w14:paraId="1FB5A2CB" w14:textId="77777777" w:rsidR="00AB1691" w:rsidRDefault="00AB1691" w:rsidP="00AB1691">
            <w:pPr>
              <w:keepNext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de fezabilitate</w:t>
            </w:r>
          </w:p>
          <w:p w14:paraId="31FEE015" w14:textId="27C08A5A" w:rsidR="00AB1691" w:rsidRPr="00A73745" w:rsidRDefault="00AB1691" w:rsidP="00AB1691">
            <w:pPr>
              <w:keepNext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Memoriu justificativ</w:t>
            </w:r>
          </w:p>
        </w:tc>
        <w:tc>
          <w:tcPr>
            <w:tcW w:w="7515" w:type="dxa"/>
          </w:tcPr>
          <w:p w14:paraId="6CE679F1" w14:textId="15CB3EDB" w:rsidR="008770C8" w:rsidRPr="004645C6" w:rsidRDefault="008770C8" w:rsidP="0087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 verifică</w:t>
            </w:r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0E0F980" w14:textId="19E313FB" w:rsidR="008770C8" w:rsidRPr="00C927C0" w:rsidRDefault="008770C8" w:rsidP="0087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numărul total al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populaţiei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UAT-ului</w:t>
            </w:r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este conform Rezultatului final al recensământului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populaţiei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locuinţelor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din anul 2011 - Tabelul nr.3 „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Populaţia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stabilă pe sexe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grupe de vârstă -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judeţe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municipii, </w:t>
            </w:r>
            <w:proofErr w:type="spellStart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4645C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comune”, (se va consulta coloana nr.1), Anexa 7</w:t>
            </w:r>
          </w:p>
          <w:p w14:paraId="595AF1E4" w14:textId="14E3A1ED" w:rsidR="00AB1691" w:rsidRPr="00BC4B02" w:rsidRDefault="008770C8" w:rsidP="00BC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va acorda punctaj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numărul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deservite prin proiect conform departajării din criteriul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B1691"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AB1691" w:rsidRPr="00BC4B02">
              <w:rPr>
                <w:rFonts w:ascii="Times New Roman" w:hAnsi="Times New Roman" w:cs="Times New Roman"/>
                <w:sz w:val="24"/>
                <w:szCs w:val="24"/>
              </w:rPr>
              <w:t>consideră</w:t>
            </w:r>
            <w:proofErr w:type="spellEnd"/>
            <w:r w:rsidR="00AB1691"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691" w:rsidRPr="00BC4B02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="00AB1691"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="00AB1691" w:rsidRPr="00BC4B02">
              <w:rPr>
                <w:rFonts w:ascii="Times New Roman" w:hAnsi="Times New Roman" w:cs="Times New Roman"/>
                <w:sz w:val="24"/>
                <w:szCs w:val="24"/>
              </w:rPr>
              <w:t>locuitori</w:t>
            </w:r>
            <w:proofErr w:type="spellEnd"/>
            <w:r w:rsidR="00AB1691" w:rsidRPr="00BC4B02">
              <w:rPr>
                <w:rFonts w:ascii="Times New Roman" w:hAnsi="Times New Roman" w:cs="Times New Roman"/>
                <w:sz w:val="24"/>
                <w:szCs w:val="24"/>
              </w:rPr>
              <w:t xml:space="preserve"> ai UAT-</w:t>
            </w:r>
            <w:proofErr w:type="spellStart"/>
            <w:r w:rsidR="00AB1691" w:rsidRPr="00BC4B02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</w:p>
        </w:tc>
      </w:tr>
    </w:tbl>
    <w:p w14:paraId="54CFD266" w14:textId="77777777" w:rsidR="00203160" w:rsidRDefault="00203160" w:rsidP="003B3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978731" w14:textId="77777777" w:rsidR="0065742D" w:rsidRPr="00B9390C" w:rsidRDefault="0065742D" w:rsidP="006574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Expertul completează, semnează </w:t>
      </w:r>
      <w:proofErr w:type="spellStart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datează </w:t>
      </w:r>
      <w:proofErr w:type="spellStart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>Fişa</w:t>
      </w:r>
      <w:proofErr w:type="spellEnd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evaluare a criteriilor de </w:t>
      </w:r>
      <w:proofErr w:type="spellStart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departajare înscrie punctajul total acordat. </w:t>
      </w:r>
    </w:p>
    <w:p w14:paraId="172A621B" w14:textId="77777777" w:rsidR="00942ABF" w:rsidRDefault="0065742D" w:rsidP="00942A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Dacă există </w:t>
      </w:r>
      <w:proofErr w:type="spellStart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>divergenţe</w:t>
      </w:r>
      <w:proofErr w:type="spellEnd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între expert </w:t>
      </w:r>
      <w:proofErr w:type="spellStart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persoana care verifică munca expertului, acestea sunt mediate/rezolvate de </w:t>
      </w:r>
      <w:proofErr w:type="spellStart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>şeful</w:t>
      </w:r>
      <w:proofErr w:type="spellEnd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ierarhic superior, care </w:t>
      </w:r>
      <w:proofErr w:type="spellStart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B939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</w:t>
      </w:r>
      <w:r w:rsidR="00942ABF">
        <w:rPr>
          <w:rFonts w:ascii="Times New Roman" w:eastAsia="Times New Roman" w:hAnsi="Times New Roman" w:cs="Times New Roman"/>
          <w:sz w:val="24"/>
          <w:szCs w:val="24"/>
          <w:lang w:val="ro-RO"/>
        </w:rPr>
        <w:t>nsemnează decizia sub semnătură.</w:t>
      </w:r>
    </w:p>
    <w:p w14:paraId="500270A9" w14:textId="77777777" w:rsidR="00942ABF" w:rsidRDefault="00942ABF" w:rsidP="00942ABF">
      <w:pPr>
        <w:tabs>
          <w:tab w:val="left" w:pos="6206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A8EED8" w14:textId="77777777" w:rsidR="00942ABF" w:rsidRDefault="00942ABF" w:rsidP="00942AB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942ABF" w:rsidSect="001D2B3D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937F" w14:textId="77777777" w:rsidR="004E711C" w:rsidRDefault="004E711C" w:rsidP="001D2B3D">
      <w:pPr>
        <w:spacing w:after="0" w:line="240" w:lineRule="auto"/>
      </w:pPr>
      <w:r>
        <w:separator/>
      </w:r>
    </w:p>
  </w:endnote>
  <w:endnote w:type="continuationSeparator" w:id="0">
    <w:p w14:paraId="3C2997EC" w14:textId="77777777" w:rsidR="004E711C" w:rsidRDefault="004E711C" w:rsidP="001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D288" w14:textId="77777777" w:rsidR="002F1108" w:rsidRDefault="001D2B3D" w:rsidP="001D2B3D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Asociația Grup de Acțiune Locală</w:t>
    </w:r>
    <w:r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2F1108">
      <w:rPr>
        <w:rFonts w:ascii="Times New Roman" w:hAnsi="Times New Roman"/>
        <w:sz w:val="20"/>
        <w:szCs w:val="20"/>
        <w:lang w:val="pt-BR"/>
      </w:rPr>
      <w:t xml:space="preserve">Panic, </w:t>
    </w:r>
    <w:r>
      <w:rPr>
        <w:rFonts w:ascii="Times New Roman" w:hAnsi="Times New Roman"/>
        <w:sz w:val="20"/>
        <w:szCs w:val="20"/>
        <w:lang w:val="pt-BR"/>
      </w:rPr>
      <w:t>nr. 1</w:t>
    </w:r>
    <w:r w:rsidR="002F1108">
      <w:rPr>
        <w:rFonts w:ascii="Times New Roman" w:hAnsi="Times New Roman"/>
        <w:sz w:val="20"/>
        <w:szCs w:val="20"/>
        <w:lang w:val="pt-BR"/>
      </w:rPr>
      <w:t>/S</w:t>
    </w:r>
    <w:r>
      <w:rPr>
        <w:rFonts w:ascii="Times New Roman" w:hAnsi="Times New Roman"/>
        <w:sz w:val="20"/>
        <w:szCs w:val="20"/>
        <w:lang w:val="pt-BR"/>
      </w:rPr>
      <w:t xml:space="preserve">, Comuna </w:t>
    </w:r>
    <w:r w:rsidR="002F1108">
      <w:rPr>
        <w:rFonts w:ascii="Times New Roman" w:hAnsi="Times New Roman"/>
        <w:sz w:val="20"/>
        <w:szCs w:val="20"/>
        <w:lang w:val="pt-BR"/>
      </w:rPr>
      <w:t>Hereclean</w:t>
    </w:r>
  </w:p>
  <w:p w14:paraId="77528104" w14:textId="4444BD27" w:rsidR="001D2B3D" w:rsidRDefault="001D2B3D" w:rsidP="001D2B3D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</w:t>
    </w:r>
    <w:r w:rsidR="002F1108">
      <w:rPr>
        <w:rFonts w:ascii="Times New Roman" w:hAnsi="Times New Roman"/>
        <w:sz w:val="20"/>
        <w:szCs w:val="20"/>
        <w:lang w:val="pt-BR"/>
      </w:rPr>
      <w:t>.607.807</w:t>
    </w:r>
    <w:r>
      <w:rPr>
        <w:rFonts w:ascii="Times New Roman" w:hAnsi="Times New Roman"/>
        <w:sz w:val="20"/>
        <w:szCs w:val="20"/>
        <w:lang w:val="pt-BR"/>
      </w:rPr>
      <w:t>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2F1108" w:rsidRPr="002F1108">
      <w:rPr>
        <w:rFonts w:ascii="Times New Roman" w:hAnsi="Times New Roman" w:cs="Times New Roman"/>
        <w:sz w:val="20"/>
        <w:szCs w:val="20"/>
      </w:rPr>
      <w:t>galtovishat@gmail.com</w:t>
    </w:r>
  </w:p>
  <w:p w14:paraId="332C6426" w14:textId="77777777" w:rsidR="001D2B3D" w:rsidRDefault="001D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FA504" w14:textId="77777777" w:rsidR="004E711C" w:rsidRDefault="004E711C" w:rsidP="001D2B3D">
      <w:pPr>
        <w:spacing w:after="0" w:line="240" w:lineRule="auto"/>
      </w:pPr>
      <w:r>
        <w:separator/>
      </w:r>
    </w:p>
  </w:footnote>
  <w:footnote w:type="continuationSeparator" w:id="0">
    <w:p w14:paraId="4119597E" w14:textId="77777777" w:rsidR="004E711C" w:rsidRDefault="004E711C" w:rsidP="001D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1" w:type="dxa"/>
      <w:tblInd w:w="-640" w:type="dxa"/>
      <w:tblLook w:val="04A0" w:firstRow="1" w:lastRow="0" w:firstColumn="1" w:lastColumn="0" w:noHBand="0" w:noVBand="1"/>
    </w:tblPr>
    <w:tblGrid>
      <w:gridCol w:w="1781"/>
      <w:gridCol w:w="4669"/>
      <w:gridCol w:w="1931"/>
      <w:gridCol w:w="1345"/>
      <w:gridCol w:w="1345"/>
    </w:tblGrid>
    <w:tr w:rsidR="001D2B3D" w:rsidRPr="000B242A" w14:paraId="2247EE82" w14:textId="77777777" w:rsidTr="001D2B3D">
      <w:trPr>
        <w:trHeight w:val="1271"/>
      </w:trPr>
      <w:tc>
        <w:tcPr>
          <w:tcW w:w="1781" w:type="dxa"/>
          <w:tcBorders>
            <w:bottom w:val="single" w:sz="4" w:space="0" w:color="auto"/>
          </w:tcBorders>
        </w:tcPr>
        <w:p w14:paraId="0B42659A" w14:textId="77777777" w:rsidR="001D2B3D" w:rsidRPr="000B242A" w:rsidRDefault="001D2B3D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0956ACD" wp14:editId="4F2EF9B6">
                <wp:extent cx="990600" cy="771525"/>
                <wp:effectExtent l="0" t="0" r="0" b="0"/>
                <wp:docPr id="137" name="Picture 137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  <w:tcBorders>
            <w:bottom w:val="single" w:sz="4" w:space="0" w:color="auto"/>
          </w:tcBorders>
        </w:tcPr>
        <w:p w14:paraId="0D407521" w14:textId="77777777" w:rsidR="001D2B3D" w:rsidRPr="000B242A" w:rsidRDefault="001D2B3D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82EA0A5" wp14:editId="0FD5B881">
                <wp:extent cx="2819400" cy="723900"/>
                <wp:effectExtent l="0" t="0" r="0" b="0"/>
                <wp:docPr id="138" name="Pictur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1" w:type="dxa"/>
          <w:tcBorders>
            <w:bottom w:val="single" w:sz="4" w:space="0" w:color="auto"/>
          </w:tcBorders>
        </w:tcPr>
        <w:p w14:paraId="7CDA1E98" w14:textId="77777777" w:rsidR="001D2B3D" w:rsidRPr="000B242A" w:rsidRDefault="001D2B3D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513E92F" wp14:editId="37E56C05">
                <wp:extent cx="1085850" cy="771525"/>
                <wp:effectExtent l="0" t="0" r="0" b="0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bottom w:val="single" w:sz="4" w:space="0" w:color="auto"/>
          </w:tcBorders>
        </w:tcPr>
        <w:p w14:paraId="56D4A27B" w14:textId="77777777" w:rsidR="001D2B3D" w:rsidRPr="000B242A" w:rsidRDefault="001D2B3D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76DBB47" wp14:editId="47B68D3A">
                <wp:extent cx="714375" cy="714375"/>
                <wp:effectExtent l="0" t="0" r="0" b="0"/>
                <wp:docPr id="140" name="Picture 140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bottom w:val="single" w:sz="4" w:space="0" w:color="auto"/>
          </w:tcBorders>
        </w:tcPr>
        <w:p w14:paraId="366A2CDD" w14:textId="77777777" w:rsidR="001D2B3D" w:rsidRPr="000B242A" w:rsidRDefault="001D2B3D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154BC6B" wp14:editId="6ACD203F">
                <wp:extent cx="714375" cy="714375"/>
                <wp:effectExtent l="0" t="0" r="0" b="0"/>
                <wp:docPr id="141" name="Picture 141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95AAFF" w14:textId="77777777" w:rsidR="001D2B3D" w:rsidRDefault="001D2B3D" w:rsidP="001D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711"/>
    <w:multiLevelType w:val="hybridMultilevel"/>
    <w:tmpl w:val="8A64A136"/>
    <w:lvl w:ilvl="0" w:tplc="2B107D28">
      <w:start w:val="121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1A22"/>
    <w:multiLevelType w:val="hybridMultilevel"/>
    <w:tmpl w:val="E3D4BEB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8C7"/>
    <w:multiLevelType w:val="hybridMultilevel"/>
    <w:tmpl w:val="E910B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D7987"/>
    <w:multiLevelType w:val="multilevel"/>
    <w:tmpl w:val="F2987C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C49D6"/>
    <w:multiLevelType w:val="hybridMultilevel"/>
    <w:tmpl w:val="E3D4BEB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0F"/>
    <w:rsid w:val="0000786E"/>
    <w:rsid w:val="0005440B"/>
    <w:rsid w:val="000713CA"/>
    <w:rsid w:val="000928C3"/>
    <w:rsid w:val="00115BDA"/>
    <w:rsid w:val="001274F2"/>
    <w:rsid w:val="00142329"/>
    <w:rsid w:val="00174E73"/>
    <w:rsid w:val="001D2B3D"/>
    <w:rsid w:val="001E6F23"/>
    <w:rsid w:val="001F702C"/>
    <w:rsid w:val="00203160"/>
    <w:rsid w:val="002236C8"/>
    <w:rsid w:val="00236E7C"/>
    <w:rsid w:val="002F1108"/>
    <w:rsid w:val="002F3620"/>
    <w:rsid w:val="003953C2"/>
    <w:rsid w:val="003B34D0"/>
    <w:rsid w:val="0045160F"/>
    <w:rsid w:val="004645C6"/>
    <w:rsid w:val="00485C97"/>
    <w:rsid w:val="004A4A73"/>
    <w:rsid w:val="004C3F7C"/>
    <w:rsid w:val="004D311A"/>
    <w:rsid w:val="004E711C"/>
    <w:rsid w:val="004F5FC0"/>
    <w:rsid w:val="00580730"/>
    <w:rsid w:val="005826DC"/>
    <w:rsid w:val="005851C3"/>
    <w:rsid w:val="005A6E23"/>
    <w:rsid w:val="0065742D"/>
    <w:rsid w:val="006A387A"/>
    <w:rsid w:val="006C0C6B"/>
    <w:rsid w:val="006E2D20"/>
    <w:rsid w:val="006F1366"/>
    <w:rsid w:val="00766DDC"/>
    <w:rsid w:val="00797A29"/>
    <w:rsid w:val="007D3557"/>
    <w:rsid w:val="00842B60"/>
    <w:rsid w:val="00842D05"/>
    <w:rsid w:val="008770C8"/>
    <w:rsid w:val="008B3C91"/>
    <w:rsid w:val="008C0F96"/>
    <w:rsid w:val="008D6D90"/>
    <w:rsid w:val="00942ABF"/>
    <w:rsid w:val="009437B1"/>
    <w:rsid w:val="00985B81"/>
    <w:rsid w:val="009B4A90"/>
    <w:rsid w:val="009E0261"/>
    <w:rsid w:val="009E4C6F"/>
    <w:rsid w:val="00A10CB2"/>
    <w:rsid w:val="00A73745"/>
    <w:rsid w:val="00A93B2E"/>
    <w:rsid w:val="00AB1691"/>
    <w:rsid w:val="00B03A24"/>
    <w:rsid w:val="00B81D82"/>
    <w:rsid w:val="00B9390C"/>
    <w:rsid w:val="00BC1C13"/>
    <w:rsid w:val="00BC4B02"/>
    <w:rsid w:val="00C927C0"/>
    <w:rsid w:val="00CD654C"/>
    <w:rsid w:val="00CF1B58"/>
    <w:rsid w:val="00D50D45"/>
    <w:rsid w:val="00DA6883"/>
    <w:rsid w:val="00EB7FC0"/>
    <w:rsid w:val="00EF5E50"/>
    <w:rsid w:val="00F37160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03610"/>
  <w15:docId w15:val="{8841B54B-D454-4CA6-A895-4DD5355B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45160F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45160F"/>
    <w:rPr>
      <w:rFonts w:ascii="Trebuchet MS" w:eastAsiaTheme="minorEastAsia" w:hAnsi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5160F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4516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45160F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NoSpacing">
    <w:name w:val="No Spacing"/>
    <w:link w:val="NoSpacingChar"/>
    <w:uiPriority w:val="1"/>
    <w:qFormat/>
    <w:rsid w:val="00236E7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3D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2B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B3D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6C0C6B"/>
    <w:rPr>
      <w:rFonts w:eastAsiaTheme="minorEastAsia"/>
    </w:rPr>
  </w:style>
  <w:style w:type="character" w:styleId="FootnoteReference">
    <w:name w:val="footnote reference"/>
    <w:aliases w:val="Footnote,Footnote symbol,Fussnota,ftref"/>
    <w:uiPriority w:val="99"/>
    <w:semiHidden/>
    <w:rsid w:val="0005440B"/>
    <w:rPr>
      <w:vertAlign w:val="superscript"/>
    </w:rPr>
  </w:style>
  <w:style w:type="paragraph" w:customStyle="1" w:styleId="Default">
    <w:name w:val="Default"/>
    <w:rsid w:val="002F3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5C97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censamantromania.ro/wp-content/uploads/2013/07/sR_Tab_3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Chis Florin Catalin</cp:lastModifiedBy>
  <cp:revision>11</cp:revision>
  <dcterms:created xsi:type="dcterms:W3CDTF">2017-08-22T07:48:00Z</dcterms:created>
  <dcterms:modified xsi:type="dcterms:W3CDTF">2020-09-01T12:10:00Z</dcterms:modified>
</cp:coreProperties>
</file>