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A" w:rsidRDefault="0045160F" w:rsidP="00451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FIȘ</w:t>
      </w:r>
      <w:r w:rsidR="006C0C6B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A</w:t>
      </w:r>
      <w:r w:rsidR="00485C97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DE VERIFICARE A CRITERIILOR DE SELECȚIE</w:t>
      </w: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:rsidR="0045160F" w:rsidRPr="00811FAF" w:rsidRDefault="0045160F" w:rsidP="00451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</w:p>
    <w:p w:rsidR="0045160F" w:rsidRPr="00811FAF" w:rsidRDefault="000713CA" w:rsidP="00A938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Măsura 7</w:t>
      </w:r>
      <w:r w:rsidR="00A938AC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.8</w:t>
      </w:r>
      <w:r w:rsidR="0045160F" w:rsidRPr="00811FAF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 </w:t>
      </w:r>
      <w:r w:rsidR="00A938AC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 xml:space="preserve">- </w:t>
      </w:r>
      <w:r w:rsidR="00A938AC" w:rsidRPr="00A938AC">
        <w:rPr>
          <w:rFonts w:ascii="Times New Roman" w:eastAsia="Times New Roman" w:hAnsi="Times New Roman" w:cs="Times New Roman"/>
          <w:b/>
          <w:sz w:val="24"/>
          <w:szCs w:val="24"/>
          <w:lang w:val="ro-RO" w:eastAsia="fr-FR"/>
        </w:rPr>
        <w:t>Investiții în infrastructura socială şi pentru integrarea minorităţilor etnice</w:t>
      </w:r>
    </w:p>
    <w:p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45160F" w:rsidRDefault="0045160F" w:rsidP="0045160F">
      <w:pPr>
        <w:pStyle w:val="BodyText3"/>
        <w:rPr>
          <w:rFonts w:ascii="Calibri" w:hAnsi="Calibri" w:cs="Calibri"/>
          <w:b w:val="0"/>
          <w:sz w:val="22"/>
          <w:szCs w:val="22"/>
          <w:lang w:val="ro-RO"/>
        </w:rPr>
      </w:pPr>
    </w:p>
    <w:p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Informaţii generale obligatorii cu privire la solicitant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Denumirea solicitantului</w:t>
      </w:r>
      <w:r>
        <w:rPr>
          <w:b w:val="0"/>
          <w:sz w:val="24"/>
          <w:szCs w:val="24"/>
          <w:lang w:val="ro-RO"/>
        </w:rPr>
        <w:t xml:space="preserve"> 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</w:t>
      </w:r>
    </w:p>
    <w:p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Statutul juridic</w:t>
      </w:r>
      <w:r w:rsidRPr="00BB2132">
        <w:rPr>
          <w:b w:val="0"/>
          <w:sz w:val="24"/>
          <w:szCs w:val="24"/>
          <w:lang w:val="ro-RO"/>
        </w:rPr>
        <w:t xml:space="preserve"> ………………………………………………………………..................</w:t>
      </w:r>
      <w:r>
        <w:rPr>
          <w:b w:val="0"/>
          <w:sz w:val="24"/>
          <w:szCs w:val="24"/>
          <w:lang w:val="ro-RO"/>
        </w:rPr>
        <w:t>..............</w:t>
      </w:r>
    </w:p>
    <w:p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Date personale (reprezentant legal)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Nume</w:t>
      </w:r>
      <w:r w:rsidRPr="00BB2132">
        <w:rPr>
          <w:b w:val="0"/>
          <w:sz w:val="24"/>
          <w:szCs w:val="24"/>
          <w:lang w:val="ro-RO"/>
        </w:rPr>
        <w:t>:……………………………………………………………………….....................</w:t>
      </w:r>
      <w:r>
        <w:rPr>
          <w:b w:val="0"/>
          <w:sz w:val="24"/>
          <w:szCs w:val="24"/>
          <w:lang w:val="ro-RO"/>
        </w:rPr>
        <w:t>...............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Prenume</w:t>
      </w:r>
      <w:r w:rsidRPr="00BB2132">
        <w:rPr>
          <w:b w:val="0"/>
          <w:sz w:val="24"/>
          <w:szCs w:val="24"/>
          <w:lang w:val="ro-RO"/>
        </w:rPr>
        <w:t>:……………...……………………………………………………............</w:t>
      </w:r>
      <w:r>
        <w:rPr>
          <w:b w:val="0"/>
          <w:sz w:val="24"/>
          <w:szCs w:val="24"/>
          <w:lang w:val="ro-RO"/>
        </w:rPr>
        <w:t>........................</w:t>
      </w:r>
    </w:p>
    <w:p w:rsidR="0045160F" w:rsidRPr="00BB2132" w:rsidRDefault="0045160F" w:rsidP="0045160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 w:rsidRPr="00BB2132">
        <w:rPr>
          <w:rFonts w:ascii="Times New Roman" w:hAnsi="Times New Roman" w:cs="Times New Roman"/>
          <w:b/>
          <w:bCs/>
          <w:sz w:val="24"/>
          <w:szCs w:val="24"/>
          <w:lang w:val="ro-RO" w:eastAsia="fr-FR"/>
        </w:rPr>
        <w:t>CNP:</w:t>
      </w:r>
      <w:r w:rsidRPr="00BB2132">
        <w:rPr>
          <w:rFonts w:ascii="Times New Roman" w:hAnsi="Times New Roman" w:cs="Times New Roman"/>
          <w:bCs/>
          <w:sz w:val="24"/>
          <w:szCs w:val="24"/>
          <w:lang w:val="ro-RO" w:eastAsia="fr-FR"/>
        </w:rPr>
        <w:t xml:space="preserve"> ……................................................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Funcţia reprezentantului legal</w:t>
      </w:r>
      <w:r w:rsidRPr="00BB2132">
        <w:rPr>
          <w:b w:val="0"/>
          <w:sz w:val="24"/>
          <w:szCs w:val="24"/>
          <w:lang w:val="ro-RO"/>
        </w:rPr>
        <w:t xml:space="preserve"> :…………………………................................................</w:t>
      </w:r>
      <w:r>
        <w:rPr>
          <w:b w:val="0"/>
          <w:sz w:val="24"/>
          <w:szCs w:val="24"/>
          <w:lang w:val="ro-RO"/>
        </w:rPr>
        <w:t>...........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Titlul </w:t>
      </w:r>
      <w:r w:rsidRPr="00BB2132">
        <w:rPr>
          <w:sz w:val="24"/>
          <w:szCs w:val="24"/>
          <w:lang w:val="ro-RO"/>
        </w:rPr>
        <w:t>proiectului</w:t>
      </w:r>
      <w:r w:rsidRPr="00BB2132">
        <w:rPr>
          <w:b w:val="0"/>
          <w:sz w:val="24"/>
          <w:szCs w:val="24"/>
          <w:lang w:val="ro-RO"/>
        </w:rPr>
        <w:t>………………………………………………………………….........</w:t>
      </w:r>
      <w:r>
        <w:rPr>
          <w:b w:val="0"/>
          <w:sz w:val="24"/>
          <w:szCs w:val="24"/>
          <w:lang w:val="ro-RO"/>
        </w:rPr>
        <w:t>.................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it-IT"/>
        </w:rPr>
      </w:pPr>
      <w:r w:rsidRPr="00BB2132">
        <w:rPr>
          <w:sz w:val="24"/>
          <w:szCs w:val="24"/>
          <w:lang w:val="ro-RO"/>
        </w:rPr>
        <w:t>Obiectivul și tipul proiectului: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</w:t>
      </w:r>
    </w:p>
    <w:p w:rsidR="0045160F" w:rsidRPr="00BB2132" w:rsidRDefault="0045160F" w:rsidP="0045160F">
      <w:pPr>
        <w:pStyle w:val="BodyText3"/>
        <w:jc w:val="left"/>
        <w:rPr>
          <w:b w:val="0"/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Amplasare(localitate)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.......................................................................................................................</w:t>
      </w:r>
    </w:p>
    <w:p w:rsidR="0045160F" w:rsidRPr="00BB2132" w:rsidRDefault="0045160F" w:rsidP="0045160F">
      <w:pPr>
        <w:pStyle w:val="BodyText3"/>
        <w:tabs>
          <w:tab w:val="left" w:pos="6981"/>
        </w:tabs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Numărul apelului de selecție și data lansării 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</w:t>
      </w:r>
      <w:r w:rsidRPr="00BB2132">
        <w:rPr>
          <w:sz w:val="24"/>
          <w:szCs w:val="24"/>
          <w:lang w:val="ro-RO"/>
        </w:rPr>
        <w:tab/>
      </w:r>
    </w:p>
    <w:p w:rsidR="0045160F" w:rsidRPr="00BB2132" w:rsidRDefault="0045160F" w:rsidP="0045160F">
      <w:pPr>
        <w:pStyle w:val="BodyText3"/>
        <w:jc w:val="left"/>
        <w:rPr>
          <w:sz w:val="24"/>
          <w:szCs w:val="24"/>
          <w:lang w:val="ro-RO"/>
        </w:rPr>
      </w:pPr>
      <w:r w:rsidRPr="00BB2132">
        <w:rPr>
          <w:sz w:val="24"/>
          <w:szCs w:val="24"/>
          <w:lang w:val="ro-RO"/>
        </w:rPr>
        <w:t>Data înregistrării proiectului la GAL:</w:t>
      </w:r>
      <w:r w:rsidRPr="00BB2132">
        <w:rPr>
          <w:b w:val="0"/>
          <w:sz w:val="24"/>
          <w:szCs w:val="24"/>
          <w:lang w:val="ro-RO"/>
        </w:rPr>
        <w:t>..........................................................................................</w:t>
      </w:r>
    </w:p>
    <w:p w:rsidR="0045160F" w:rsidRPr="00BB2132" w:rsidRDefault="0045160F" w:rsidP="004516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B213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</w:t>
      </w:r>
    </w:p>
    <w:p w:rsidR="006C0C6B" w:rsidRDefault="006C0C6B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737F4D" w:rsidRDefault="00737F4D" w:rsidP="0045160F">
      <w:pPr>
        <w:rPr>
          <w:rFonts w:ascii="Times New Roman" w:hAnsi="Times New Roman" w:cs="Times New Roman"/>
          <w:sz w:val="24"/>
          <w:szCs w:val="24"/>
        </w:rPr>
      </w:pPr>
    </w:p>
    <w:p w:rsidR="00A938AC" w:rsidRDefault="00A938AC" w:rsidP="0045160F">
      <w:pPr>
        <w:rPr>
          <w:rFonts w:ascii="Times New Roman" w:hAnsi="Times New Roman" w:cs="Times New Roman"/>
          <w:sz w:val="24"/>
          <w:szCs w:val="24"/>
        </w:rPr>
      </w:pPr>
    </w:p>
    <w:p w:rsidR="00A938AC" w:rsidRDefault="00A938AC" w:rsidP="0045160F">
      <w:pPr>
        <w:rPr>
          <w:rFonts w:ascii="Times New Roman" w:hAnsi="Times New Roman" w:cs="Times New Roman"/>
          <w:sz w:val="24"/>
          <w:szCs w:val="24"/>
        </w:rPr>
      </w:pPr>
    </w:p>
    <w:p w:rsidR="0045160F" w:rsidRDefault="006C0C6B" w:rsidP="004516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C6B">
        <w:rPr>
          <w:rFonts w:ascii="Times New Roman" w:hAnsi="Times New Roman" w:cs="Times New Roman"/>
          <w:b/>
          <w:sz w:val="28"/>
          <w:szCs w:val="28"/>
        </w:rPr>
        <w:lastRenderedPageBreak/>
        <w:t>Verificarea</w:t>
      </w:r>
      <w:proofErr w:type="spellEnd"/>
      <w:r w:rsidRPr="006C0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C6B">
        <w:rPr>
          <w:rFonts w:ascii="Times New Roman" w:hAnsi="Times New Roman" w:cs="Times New Roman"/>
          <w:b/>
          <w:sz w:val="28"/>
          <w:szCs w:val="28"/>
        </w:rPr>
        <w:t>criteriilor</w:t>
      </w:r>
      <w:proofErr w:type="spellEnd"/>
      <w:r w:rsidRPr="006C0C6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85C97">
        <w:rPr>
          <w:rFonts w:ascii="Times New Roman" w:hAnsi="Times New Roman" w:cs="Times New Roman"/>
          <w:b/>
          <w:sz w:val="28"/>
          <w:szCs w:val="28"/>
        </w:rPr>
        <w:t>selecție</w:t>
      </w:r>
      <w:proofErr w:type="spellEnd"/>
      <w:r w:rsidR="00485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49"/>
        <w:gridCol w:w="460"/>
        <w:gridCol w:w="3358"/>
        <w:gridCol w:w="259"/>
        <w:gridCol w:w="757"/>
        <w:gridCol w:w="259"/>
        <w:gridCol w:w="3926"/>
        <w:gridCol w:w="18"/>
        <w:gridCol w:w="1137"/>
      </w:tblGrid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  <w:proofErr w:type="spellEnd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selecție</w:t>
            </w:r>
            <w:proofErr w:type="spellEnd"/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3944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Modalitate</w:t>
            </w:r>
            <w:proofErr w:type="spellEnd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acordare</w:t>
            </w:r>
            <w:proofErr w:type="spellEnd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A938AC" w:rsidRPr="00A938AC" w:rsidRDefault="00A938AC" w:rsidP="00A9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GAL</w:t>
            </w:r>
          </w:p>
        </w:tc>
      </w:tr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38AC">
              <w:rPr>
                <w:rFonts w:ascii="Times New Roman" w:hAnsi="Times New Roman" w:cs="Times New Roman"/>
                <w:b/>
              </w:rPr>
              <w:t>Principiul</w:t>
            </w:r>
            <w:proofErr w:type="spellEnd"/>
            <w:r w:rsidRPr="00A938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b/>
              </w:rPr>
              <w:t>gradului</w:t>
            </w:r>
            <w:proofErr w:type="spellEnd"/>
            <w:r w:rsidRPr="00A938AC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  <w:b/>
              </w:rPr>
              <w:t>acoperire</w:t>
            </w:r>
            <w:proofErr w:type="spellEnd"/>
            <w:r w:rsidRPr="00A938AC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A938AC">
              <w:rPr>
                <w:rFonts w:ascii="Times New Roman" w:hAnsi="Times New Roman" w:cs="Times New Roman"/>
                <w:b/>
              </w:rPr>
              <w:t>populaţiei</w:t>
            </w:r>
            <w:proofErr w:type="spellEnd"/>
            <w:r w:rsidRPr="00A938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b/>
              </w:rPr>
              <w:t>deservite</w:t>
            </w:r>
            <w:proofErr w:type="spellEnd"/>
            <w:r w:rsidRPr="00A938AC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A938AC">
              <w:rPr>
                <w:rFonts w:ascii="Times New Roman" w:hAnsi="Times New Roman" w:cs="Times New Roman"/>
                <w:b/>
              </w:rPr>
              <w:t>beneficiarilor</w:t>
            </w:r>
            <w:proofErr w:type="spellEnd"/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50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944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A938AC" w:rsidRPr="00E167A5" w:rsidRDefault="00A938AC" w:rsidP="007C6E95">
            <w:pPr>
              <w:rPr>
                <w:b/>
                <w:szCs w:val="24"/>
              </w:rPr>
            </w:pPr>
          </w:p>
        </w:tc>
      </w:tr>
      <w:tr w:rsidR="00A938AC" w:rsidTr="00C90F0C">
        <w:trPr>
          <w:trHeight w:val="1255"/>
        </w:trPr>
        <w:tc>
          <w:tcPr>
            <w:tcW w:w="1309" w:type="dxa"/>
            <w:gridSpan w:val="2"/>
            <w:vMerge w:val="restart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38AC">
              <w:rPr>
                <w:rFonts w:ascii="Times New Roman" w:hAnsi="Times New Roman" w:cs="Times New Roman"/>
              </w:rPr>
              <w:t xml:space="preserve">1.1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Populație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netă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beneficiază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servicii</w:t>
            </w:r>
            <w:proofErr w:type="spellEnd"/>
            <w:r w:rsidRPr="00A938AC">
              <w:rPr>
                <w:rFonts w:ascii="Times New Roman" w:hAnsi="Times New Roman" w:cs="Times New Roman"/>
              </w:rPr>
              <w:t>/</w:t>
            </w:r>
            <w:proofErr w:type="spellStart"/>
            <w:r w:rsidRPr="00A938AC">
              <w:rPr>
                <w:rFonts w:ascii="Times New Roman" w:hAnsi="Times New Roman" w:cs="Times New Roman"/>
              </w:rPr>
              <w:t>infrastructuri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îmbunătățite</w:t>
            </w:r>
            <w:proofErr w:type="spellEnd"/>
          </w:p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 w:val="restart"/>
          </w:tcPr>
          <w:p w:rsidR="00E6185C" w:rsidRPr="00E6185C" w:rsidRDefault="00E6185C" w:rsidP="00E6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beneficia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deservire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țintă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38AC" w:rsidRPr="00A938AC" w:rsidRDefault="00E6185C" w:rsidP="00E618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verificate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Memoriu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justificativ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beneficia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deservire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țintă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fundamentat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demonstrat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(SF)  cu date,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verificabile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(e.g.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recensământ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menţionându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Merge w:val="restart"/>
          </w:tcPr>
          <w:p w:rsidR="00A938AC" w:rsidRPr="00EE7B93" w:rsidRDefault="00A938AC" w:rsidP="007C6E9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A938AC" w:rsidTr="00C90F0C">
        <w:trPr>
          <w:trHeight w:val="510"/>
        </w:trPr>
        <w:tc>
          <w:tcPr>
            <w:tcW w:w="1309" w:type="dxa"/>
            <w:gridSpan w:val="2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auto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38AC">
              <w:rPr>
                <w:rFonts w:ascii="Times New Roman" w:hAnsi="Times New Roman" w:cs="Times New Roman"/>
                <w:color w:val="auto"/>
              </w:rPr>
              <w:t xml:space="preserve">11-30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938AC" w:rsidRPr="00C37DC7" w:rsidRDefault="00A938AC" w:rsidP="007C6E95">
            <w:pPr>
              <w:autoSpaceDE w:val="0"/>
              <w:autoSpaceDN w:val="0"/>
              <w:adjustRightInd w:val="0"/>
            </w:pPr>
          </w:p>
        </w:tc>
      </w:tr>
      <w:tr w:rsidR="00A938AC" w:rsidTr="00C90F0C">
        <w:trPr>
          <w:trHeight w:val="585"/>
        </w:trPr>
        <w:tc>
          <w:tcPr>
            <w:tcW w:w="1309" w:type="dxa"/>
            <w:gridSpan w:val="2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auto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38AC">
              <w:rPr>
                <w:rFonts w:ascii="Times New Roman" w:hAnsi="Times New Roman" w:cs="Times New Roman"/>
                <w:color w:val="auto"/>
              </w:rPr>
              <w:t xml:space="preserve">31-50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938AC" w:rsidRPr="00C37DC7" w:rsidRDefault="00A938AC" w:rsidP="007C6E95">
            <w:pPr>
              <w:autoSpaceDE w:val="0"/>
              <w:autoSpaceDN w:val="0"/>
              <w:adjustRightInd w:val="0"/>
            </w:pPr>
          </w:p>
        </w:tc>
      </w:tr>
      <w:tr w:rsidR="00A938AC" w:rsidTr="00C90F0C">
        <w:trPr>
          <w:trHeight w:val="570"/>
        </w:trPr>
        <w:tc>
          <w:tcPr>
            <w:tcW w:w="1309" w:type="dxa"/>
            <w:gridSpan w:val="2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shd w:val="clear" w:color="auto" w:fill="auto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38AC">
              <w:rPr>
                <w:rFonts w:ascii="Times New Roman" w:hAnsi="Times New Roman" w:cs="Times New Roman"/>
                <w:color w:val="auto"/>
              </w:rPr>
              <w:t xml:space="preserve">&gt;51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938AC" w:rsidRPr="00C37DC7" w:rsidRDefault="00A938AC" w:rsidP="007C6E95">
            <w:pPr>
              <w:autoSpaceDE w:val="0"/>
              <w:autoSpaceDN w:val="0"/>
              <w:adjustRightInd w:val="0"/>
            </w:pPr>
          </w:p>
        </w:tc>
      </w:tr>
      <w:tr w:rsidR="00A938AC" w:rsidTr="00C90F0C">
        <w:trPr>
          <w:trHeight w:val="865"/>
        </w:trPr>
        <w:tc>
          <w:tcPr>
            <w:tcW w:w="1309" w:type="dxa"/>
            <w:gridSpan w:val="2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938AC" w:rsidRPr="00C37DC7" w:rsidRDefault="00A938AC" w:rsidP="007C6E95">
            <w:pPr>
              <w:autoSpaceDE w:val="0"/>
              <w:autoSpaceDN w:val="0"/>
              <w:adjustRightInd w:val="0"/>
            </w:pPr>
          </w:p>
        </w:tc>
      </w:tr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38AC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A938AC">
              <w:rPr>
                <w:rFonts w:ascii="Times New Roman" w:hAnsi="Times New Roman" w:cs="Times New Roman"/>
              </w:rPr>
              <w:t>Gradul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acoperire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938AC">
              <w:rPr>
                <w:rFonts w:ascii="Times New Roman" w:hAnsi="Times New Roman" w:cs="Times New Roman"/>
              </w:rPr>
              <w:t>beneficiarilor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indirecţi</w:t>
            </w:r>
            <w:proofErr w:type="spellEnd"/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20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944" w:type="dxa"/>
            <w:gridSpan w:val="2"/>
            <w:vMerge w:val="restart"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locuitori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UAT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implementa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</w:p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Numărul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total al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populaţiei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UAT -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ului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pe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raza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căruia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va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realiza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investiţia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este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conform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Rezultatului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final al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recensământului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populaţiei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locuinţelor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din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anul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2011 </w:t>
            </w:r>
            <w:r w:rsidRPr="00A938AC">
              <w:rPr>
                <w:rFonts w:ascii="Cambria Math" w:hAnsi="Cambria Math" w:cs="Cambria Math"/>
                <w:i/>
                <w:iCs/>
              </w:rPr>
              <w:t>‐</w:t>
            </w:r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Tabelul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nr.3 „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Populaţia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stabilă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pe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sexe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grupe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vârstă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38AC">
              <w:rPr>
                <w:rFonts w:ascii="Cambria Math" w:hAnsi="Cambria Math" w:cs="Cambria Math"/>
                <w:i/>
                <w:iCs/>
              </w:rPr>
              <w:t>‐</w:t>
            </w:r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judeţe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municipii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oraşe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comune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”, (se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va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consulta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coloana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nr.1), </w:t>
            </w:r>
            <w:proofErr w:type="spellStart"/>
            <w:r w:rsidRPr="00A938AC">
              <w:rPr>
                <w:rFonts w:ascii="Times New Roman" w:hAnsi="Times New Roman" w:cs="Times New Roman"/>
                <w:i/>
                <w:iCs/>
              </w:rPr>
              <w:t>Anexa</w:t>
            </w:r>
            <w:proofErr w:type="spellEnd"/>
            <w:r w:rsidRPr="00A938AC">
              <w:rPr>
                <w:rFonts w:ascii="Times New Roman" w:hAnsi="Times New Roman" w:cs="Times New Roman"/>
                <w:i/>
                <w:iCs/>
              </w:rPr>
              <w:t xml:space="preserve"> 7</w:t>
            </w:r>
          </w:p>
        </w:tc>
        <w:tc>
          <w:tcPr>
            <w:tcW w:w="1137" w:type="dxa"/>
            <w:vMerge w:val="restart"/>
          </w:tcPr>
          <w:p w:rsidR="00A938AC" w:rsidRPr="00EE7B93" w:rsidRDefault="00A938AC" w:rsidP="007C6E95">
            <w:pPr>
              <w:pStyle w:val="Default"/>
              <w:jc w:val="both"/>
            </w:pPr>
          </w:p>
        </w:tc>
      </w:tr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4.000 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20 p</w:t>
            </w:r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A938AC" w:rsidRPr="00EE7B93" w:rsidRDefault="00A938AC" w:rsidP="007C6E95">
            <w:pPr>
              <w:pStyle w:val="Default"/>
              <w:jc w:val="both"/>
            </w:pPr>
          </w:p>
        </w:tc>
      </w:tr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3.000 – 3.999 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15 p</w:t>
            </w:r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A938AC" w:rsidRPr="00EE7B93" w:rsidRDefault="00A938AC" w:rsidP="007C6E95">
            <w:pPr>
              <w:pStyle w:val="Default"/>
              <w:jc w:val="both"/>
            </w:pPr>
          </w:p>
        </w:tc>
      </w:tr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2000 – 2.999 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10 p</w:t>
            </w:r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A938AC" w:rsidRPr="00EE7B93" w:rsidRDefault="00A938AC" w:rsidP="007C6E95">
            <w:pPr>
              <w:pStyle w:val="Default"/>
              <w:jc w:val="both"/>
            </w:pPr>
          </w:p>
        </w:tc>
      </w:tr>
      <w:tr w:rsidR="00A938AC" w:rsidTr="00C90F0C">
        <w:tc>
          <w:tcPr>
            <w:tcW w:w="1309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1.000 – 1.999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5 p</w:t>
            </w:r>
          </w:p>
        </w:tc>
        <w:tc>
          <w:tcPr>
            <w:tcW w:w="3944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A938AC" w:rsidRPr="00EE7B93" w:rsidRDefault="00A938AC" w:rsidP="007C6E95">
            <w:pPr>
              <w:pStyle w:val="Default"/>
              <w:jc w:val="both"/>
            </w:pPr>
          </w:p>
        </w:tc>
      </w:tr>
      <w:tr w:rsidR="00C90F0C" w:rsidTr="000B3F42">
        <w:tc>
          <w:tcPr>
            <w:tcW w:w="4926" w:type="dxa"/>
            <w:gridSpan w:val="4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>Justificarea</w:t>
            </w:r>
            <w:proofErr w:type="spellEnd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>punctajului</w:t>
            </w:r>
            <w:proofErr w:type="spellEnd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 xml:space="preserve"> la CS 1</w:t>
            </w:r>
            <w:r w:rsidRPr="00C90F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7" w:type="dxa"/>
            <w:gridSpan w:val="5"/>
          </w:tcPr>
          <w:p w:rsidR="00C90F0C" w:rsidRPr="00EE7B93" w:rsidRDefault="00C90F0C" w:rsidP="007C6E95">
            <w:pPr>
              <w:pStyle w:val="Default"/>
              <w:jc w:val="both"/>
            </w:pPr>
          </w:p>
        </w:tc>
      </w:tr>
      <w:tr w:rsidR="00A938AC" w:rsidTr="00A938AC">
        <w:tc>
          <w:tcPr>
            <w:tcW w:w="849" w:type="dxa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8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Principiul prioritizării investiţiilor destinate integrării minorităţilor rome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30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185" w:type="dxa"/>
            <w:gridSpan w:val="2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A938AC" w:rsidRPr="00EE7B93" w:rsidRDefault="00A938AC" w:rsidP="007C6E95">
            <w:pPr>
              <w:pStyle w:val="Default"/>
              <w:jc w:val="both"/>
            </w:pPr>
          </w:p>
        </w:tc>
      </w:tr>
      <w:tr w:rsidR="00A938AC" w:rsidTr="00A938AC">
        <w:trPr>
          <w:trHeight w:val="1139"/>
        </w:trPr>
        <w:tc>
          <w:tcPr>
            <w:tcW w:w="849" w:type="dxa"/>
            <w:vMerge w:val="restart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38AC">
              <w:rPr>
                <w:rFonts w:ascii="Times New Roman" w:hAnsi="Times New Roman" w:cs="Times New Roman"/>
                <w:color w:val="auto"/>
              </w:rPr>
              <w:t xml:space="preserve">2.1 </w:t>
            </w:r>
            <w:proofErr w:type="spellStart"/>
            <w:r w:rsidRPr="00A938AC">
              <w:rPr>
                <w:rFonts w:ascii="Times New Roman" w:hAnsi="Times New Roman" w:cs="Times New Roman"/>
                <w:color w:val="auto"/>
              </w:rPr>
              <w:t>Proiectul</w:t>
            </w:r>
            <w:proofErr w:type="spellEnd"/>
            <w:r w:rsidRPr="00A938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38AC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adresează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UAT-</w:t>
            </w:r>
            <w:proofErr w:type="spellStart"/>
            <w:r w:rsidRPr="00A938AC">
              <w:rPr>
                <w:rFonts w:ascii="Times New Roman" w:hAnsi="Times New Roman" w:cs="Times New Roman"/>
              </w:rPr>
              <w:t>urilor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pondere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mare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populaţie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etnie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romă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</w:p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 w:val="restart"/>
          </w:tcPr>
          <w:p w:rsidR="00A938AC" w:rsidRPr="00A938AC" w:rsidRDefault="00A938AC" w:rsidP="006F52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adresează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comunităţilor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pondere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mare de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populaţie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etnie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romă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8AC" w:rsidRPr="00A938AC" w:rsidRDefault="00A938AC" w:rsidP="006F52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procentul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populaţia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romă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implementa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8AC" w:rsidRPr="00A938AC" w:rsidRDefault="00A938AC" w:rsidP="006F52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Procentul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populaţiei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rome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din</w:t>
            </w:r>
            <w:proofErr w:type="gram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UAT -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ul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raza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căruia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va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realiza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investiţia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>este</w:t>
            </w:r>
            <w:proofErr w:type="spellEnd"/>
            <w:r w:rsidRPr="00A938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conform</w:t>
            </w: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i/>
                <w:sz w:val="24"/>
                <w:szCs w:val="24"/>
              </w:rPr>
              <w:t>Anexei</w:t>
            </w:r>
            <w:proofErr w:type="spellEnd"/>
            <w:r w:rsidRPr="00A93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 – </w:t>
            </w:r>
            <w:r w:rsidRPr="00A938A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Ponderea populaţiei de etnie romă din teritoriul GAL Tovishat</w:t>
            </w:r>
            <w:r w:rsidRPr="00A938A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  <w:vMerge w:val="restart"/>
          </w:tcPr>
          <w:p w:rsidR="00A938AC" w:rsidRPr="005F632B" w:rsidRDefault="00A938AC" w:rsidP="007C6E95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</w:p>
        </w:tc>
      </w:tr>
      <w:tr w:rsidR="00A938AC" w:rsidTr="00A938AC">
        <w:trPr>
          <w:trHeight w:val="465"/>
        </w:trPr>
        <w:tc>
          <w:tcPr>
            <w:tcW w:w="849" w:type="dxa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-0-4.99 %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 pct</w:t>
            </w:r>
          </w:p>
        </w:tc>
        <w:tc>
          <w:tcPr>
            <w:tcW w:w="4185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A938AC" w:rsidRDefault="00A938AC" w:rsidP="007C6E95">
            <w:pPr>
              <w:pStyle w:val="Default"/>
              <w:jc w:val="both"/>
            </w:pPr>
          </w:p>
        </w:tc>
      </w:tr>
      <w:tr w:rsidR="00A938AC" w:rsidTr="00A938AC">
        <w:trPr>
          <w:trHeight w:val="495"/>
        </w:trPr>
        <w:tc>
          <w:tcPr>
            <w:tcW w:w="849" w:type="dxa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5-7.99 %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 pct</w:t>
            </w:r>
          </w:p>
        </w:tc>
        <w:tc>
          <w:tcPr>
            <w:tcW w:w="4185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A938AC" w:rsidRDefault="00A938AC" w:rsidP="007C6E95">
            <w:pPr>
              <w:pStyle w:val="Default"/>
              <w:jc w:val="both"/>
            </w:pPr>
          </w:p>
        </w:tc>
      </w:tr>
      <w:tr w:rsidR="00A938AC" w:rsidTr="00A938AC">
        <w:trPr>
          <w:trHeight w:val="465"/>
        </w:trPr>
        <w:tc>
          <w:tcPr>
            <w:tcW w:w="849" w:type="dxa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&gt;8 %</w:t>
            </w: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 pct</w:t>
            </w:r>
          </w:p>
        </w:tc>
        <w:tc>
          <w:tcPr>
            <w:tcW w:w="4185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A938AC" w:rsidRDefault="00A938AC" w:rsidP="007C6E95">
            <w:pPr>
              <w:pStyle w:val="Default"/>
              <w:jc w:val="both"/>
            </w:pPr>
          </w:p>
        </w:tc>
      </w:tr>
      <w:tr w:rsidR="00A938AC" w:rsidTr="00A938AC">
        <w:trPr>
          <w:trHeight w:val="896"/>
        </w:trPr>
        <w:tc>
          <w:tcPr>
            <w:tcW w:w="849" w:type="dxa"/>
            <w:vMerge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  <w:gridSpan w:val="2"/>
          </w:tcPr>
          <w:p w:rsidR="00A938AC" w:rsidRPr="00A938AC" w:rsidRDefault="00A938A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/>
          </w:tcPr>
          <w:p w:rsidR="00A938AC" w:rsidRPr="00A938AC" w:rsidRDefault="00A938A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A938AC" w:rsidRDefault="00A938AC" w:rsidP="007C6E95">
            <w:pPr>
              <w:pStyle w:val="Default"/>
              <w:jc w:val="both"/>
            </w:pPr>
          </w:p>
        </w:tc>
      </w:tr>
      <w:tr w:rsidR="00C90F0C" w:rsidTr="00C90F0C">
        <w:trPr>
          <w:trHeight w:val="401"/>
        </w:trPr>
        <w:tc>
          <w:tcPr>
            <w:tcW w:w="4667" w:type="dxa"/>
            <w:gridSpan w:val="3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>Justific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punctajului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CS 2</w:t>
            </w:r>
            <w:r w:rsidRPr="00C90F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56" w:type="dxa"/>
            <w:gridSpan w:val="6"/>
          </w:tcPr>
          <w:p w:rsidR="00C90F0C" w:rsidRPr="00EE7B93" w:rsidRDefault="00C90F0C" w:rsidP="007C6E95">
            <w:pPr>
              <w:pStyle w:val="Default"/>
              <w:jc w:val="both"/>
            </w:pPr>
          </w:p>
        </w:tc>
      </w:tr>
      <w:tr w:rsidR="00C90F0C" w:rsidTr="006F5293">
        <w:trPr>
          <w:trHeight w:val="826"/>
        </w:trPr>
        <w:tc>
          <w:tcPr>
            <w:tcW w:w="849" w:type="dxa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gridSpan w:val="2"/>
          </w:tcPr>
          <w:p w:rsidR="00C90F0C" w:rsidRPr="00A938AC" w:rsidRDefault="00C90F0C" w:rsidP="007C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A93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Principiul stimulării parteneriatelor pentru acordarea de servicii sociale</w:t>
            </w:r>
          </w:p>
        </w:tc>
        <w:tc>
          <w:tcPr>
            <w:tcW w:w="1016" w:type="dxa"/>
            <w:gridSpan w:val="2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proofErr w:type="spellStart"/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185" w:type="dxa"/>
            <w:gridSpan w:val="2"/>
          </w:tcPr>
          <w:p w:rsidR="00C90F0C" w:rsidRPr="00A938AC" w:rsidRDefault="00C90F0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8AC">
              <w:rPr>
                <w:rFonts w:ascii="Times New Roman" w:hAnsi="Times New Roman" w:cs="Times New Roman"/>
              </w:rPr>
              <w:t>Punctajul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acordă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în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funcție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structura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parteneriatului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solicită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finanțare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C90F0C" w:rsidRPr="00315FC1" w:rsidRDefault="00C90F0C" w:rsidP="007C6E95">
            <w:pPr>
              <w:pStyle w:val="Default"/>
              <w:jc w:val="both"/>
              <w:rPr>
                <w:sz w:val="22"/>
              </w:rPr>
            </w:pPr>
          </w:p>
        </w:tc>
      </w:tr>
      <w:tr w:rsidR="00C90F0C" w:rsidTr="00A938AC">
        <w:trPr>
          <w:trHeight w:val="1139"/>
        </w:trPr>
        <w:tc>
          <w:tcPr>
            <w:tcW w:w="849" w:type="dxa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C90F0C" w:rsidRPr="00A938AC" w:rsidRDefault="00C90F0C" w:rsidP="007C6E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3.1 Proiectul este implementat de un parteneriat care cuprinde cel puţin o organizaţie non-guvernamentală care reprezintă intereselele unei minorităţi locale existente la nivelul teritoriului Leader Gal Tovishat</w:t>
            </w:r>
          </w:p>
        </w:tc>
        <w:tc>
          <w:tcPr>
            <w:tcW w:w="1016" w:type="dxa"/>
            <w:gridSpan w:val="2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p</w:t>
            </w:r>
          </w:p>
        </w:tc>
        <w:tc>
          <w:tcPr>
            <w:tcW w:w="4185" w:type="dxa"/>
            <w:gridSpan w:val="2"/>
          </w:tcPr>
          <w:p w:rsidR="00C90F0C" w:rsidRPr="00A938AC" w:rsidRDefault="00C90F0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8AC">
              <w:rPr>
                <w:rFonts w:ascii="Times New Roman" w:hAnsi="Times New Roman" w:cs="Times New Roman"/>
              </w:rPr>
              <w:t>Informaţia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preia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acordul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parteneriat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38AC">
              <w:rPr>
                <w:rFonts w:ascii="Times New Roman" w:hAnsi="Times New Roman" w:cs="Times New Roman"/>
              </w:rPr>
              <w:t>Criteriul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consideră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îndeplinit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38AC">
              <w:rPr>
                <w:rFonts w:ascii="Times New Roman" w:hAnsi="Times New Roman" w:cs="Times New Roman"/>
              </w:rPr>
              <w:t>dacă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parteneriatul</w:t>
            </w:r>
            <w:proofErr w:type="spellEnd"/>
            <w:proofErr w:type="gram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cuprinde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cel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puţin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938AC">
              <w:rPr>
                <w:rFonts w:ascii="Times New Roman" w:hAnsi="Times New Roman" w:cs="Times New Roman"/>
              </w:rPr>
              <w:t>organizaţie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reprezintă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interesele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unei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minorităţi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locale  cu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sediul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A938AC">
              <w:rPr>
                <w:rFonts w:ascii="Times New Roman" w:hAnsi="Times New Roman" w:cs="Times New Roman"/>
              </w:rPr>
              <w:t>sediul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secundar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A938AC">
              <w:rPr>
                <w:rFonts w:ascii="Times New Roman" w:hAnsi="Times New Roman" w:cs="Times New Roman"/>
              </w:rPr>
              <w:t>sucursala</w:t>
            </w:r>
            <w:proofErr w:type="spellEnd"/>
            <w:r w:rsidRPr="00A938AC">
              <w:rPr>
                <w:rFonts w:ascii="Times New Roman" w:hAnsi="Times New Roman" w:cs="Times New Roman"/>
              </w:rPr>
              <w:t>/</w:t>
            </w:r>
            <w:proofErr w:type="spellStart"/>
            <w:r w:rsidRPr="00A938AC">
              <w:rPr>
                <w:rFonts w:ascii="Times New Roman" w:hAnsi="Times New Roman" w:cs="Times New Roman"/>
              </w:rPr>
              <w:t>filiala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în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teritoriul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acoperit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Gal </w:t>
            </w:r>
            <w:proofErr w:type="spellStart"/>
            <w:r w:rsidRPr="00A938AC">
              <w:rPr>
                <w:rFonts w:ascii="Times New Roman" w:hAnsi="Times New Roman" w:cs="Times New Roman"/>
              </w:rPr>
              <w:t>Tovishat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constituită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juridic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anterior </w:t>
            </w:r>
            <w:proofErr w:type="spellStart"/>
            <w:r w:rsidRPr="00A938AC">
              <w:rPr>
                <w:rFonts w:ascii="Times New Roman" w:hAnsi="Times New Roman" w:cs="Times New Roman"/>
              </w:rPr>
              <w:t>lansării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apelului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selecţie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. </w:t>
            </w:r>
          </w:p>
          <w:p w:rsidR="00C90F0C" w:rsidRPr="00A938AC" w:rsidRDefault="00C90F0C" w:rsidP="007C6E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8AC">
              <w:rPr>
                <w:rFonts w:ascii="Times New Roman" w:hAnsi="Times New Roman" w:cs="Times New Roman"/>
              </w:rPr>
              <w:t>Informaţia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verifică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pe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baza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actului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constitutiv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al ONG-</w:t>
            </w:r>
            <w:proofErr w:type="spellStart"/>
            <w:r w:rsidRPr="00A938AC">
              <w:rPr>
                <w:rFonts w:ascii="Times New Roman" w:hAnsi="Times New Roman" w:cs="Times New Roman"/>
              </w:rPr>
              <w:t>ului</w:t>
            </w:r>
            <w:proofErr w:type="spellEnd"/>
            <w:r w:rsidRPr="00A93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5" w:type="dxa"/>
            <w:gridSpan w:val="2"/>
          </w:tcPr>
          <w:p w:rsidR="00C90F0C" w:rsidRPr="00EE7B93" w:rsidRDefault="00C90F0C" w:rsidP="007C6E95">
            <w:pPr>
              <w:pStyle w:val="Default"/>
              <w:jc w:val="both"/>
            </w:pPr>
          </w:p>
        </w:tc>
      </w:tr>
      <w:tr w:rsidR="00C90F0C" w:rsidTr="00C90F0C">
        <w:trPr>
          <w:trHeight w:val="504"/>
        </w:trPr>
        <w:tc>
          <w:tcPr>
            <w:tcW w:w="4667" w:type="dxa"/>
            <w:gridSpan w:val="3"/>
          </w:tcPr>
          <w:p w:rsidR="00C90F0C" w:rsidRPr="00A938AC" w:rsidRDefault="00C90F0C" w:rsidP="007C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F0C">
              <w:rPr>
                <w:rFonts w:ascii="Times New Roman" w:hAnsi="Times New Roman" w:cs="Times New Roman"/>
                <w:sz w:val="24"/>
                <w:szCs w:val="24"/>
              </w:rPr>
              <w:t>Justific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punctajului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CS 3</w:t>
            </w:r>
            <w:r w:rsidRPr="00C90F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56" w:type="dxa"/>
            <w:gridSpan w:val="6"/>
          </w:tcPr>
          <w:p w:rsidR="00C90F0C" w:rsidRPr="00EE7B93" w:rsidRDefault="00C90F0C" w:rsidP="007C6E95">
            <w:pPr>
              <w:pStyle w:val="Default"/>
              <w:jc w:val="both"/>
            </w:pPr>
          </w:p>
        </w:tc>
      </w:tr>
    </w:tbl>
    <w:p w:rsidR="00485C97" w:rsidRPr="007507A9" w:rsidRDefault="00485C97" w:rsidP="0048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Criterii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departajarea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proiectelor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punctaj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egal</w:t>
      </w:r>
      <w:proofErr w:type="spellEnd"/>
      <w:r w:rsidRPr="0075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85C97" w:rsidRDefault="00485C97" w:rsidP="00485C9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7507A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exista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celași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punctaj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</w:t>
      </w:r>
      <w:r w:rsidRPr="007507A9">
        <w:rPr>
          <w:rFonts w:ascii="Times New Roman" w:hAnsi="Times New Roman" w:cs="Times New Roman"/>
          <w:color w:val="000000"/>
          <w:sz w:val="24"/>
          <w:szCs w:val="24"/>
        </w:rPr>
        <w:t>toarele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07A9"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 w:rsidRPr="007507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938AC" w:rsidRPr="00A938AC" w:rsidRDefault="00A938AC" w:rsidP="00A938A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populaţiei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beneficiază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</w:p>
    <w:p w:rsidR="00A938AC" w:rsidRPr="00A938AC" w:rsidRDefault="00A938AC" w:rsidP="00A938A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Proiectele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destinate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integrării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minorităţilor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spellEnd"/>
    </w:p>
    <w:p w:rsidR="006F5293" w:rsidRDefault="00A938AC" w:rsidP="00C90F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Proiectele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care  se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propun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localitate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A93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8AC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</w:p>
    <w:p w:rsidR="00C90F0C" w:rsidRPr="00C90F0C" w:rsidRDefault="00C90F0C" w:rsidP="00C90F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85C97" w:rsidRDefault="00CF1B58" w:rsidP="00737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lastRenderedPageBreak/>
        <w:t>Punctajul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obț</w:t>
      </w:r>
      <w:proofErr w:type="gramStart"/>
      <w:r w:rsidRPr="00CF1B58">
        <w:rPr>
          <w:rFonts w:ascii="Times New Roman" w:hAnsi="Times New Roman" w:cs="Times New Roman"/>
          <w:b/>
          <w:sz w:val="24"/>
          <w:szCs w:val="24"/>
        </w:rPr>
        <w:t>inut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urma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verificării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B58">
        <w:rPr>
          <w:rFonts w:ascii="Times New Roman" w:hAnsi="Times New Roman" w:cs="Times New Roman"/>
          <w:b/>
          <w:sz w:val="24"/>
          <w:szCs w:val="24"/>
        </w:rPr>
        <w:t>criteriilor</w:t>
      </w:r>
      <w:proofErr w:type="spellEnd"/>
      <w:r w:rsidRPr="00CF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F4D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37F4D">
        <w:rPr>
          <w:rFonts w:ascii="Times New Roman" w:hAnsi="Times New Roman" w:cs="Times New Roman"/>
          <w:b/>
          <w:sz w:val="24"/>
          <w:szCs w:val="24"/>
        </w:rPr>
        <w:t>selecție</w:t>
      </w:r>
      <w:proofErr w:type="spellEnd"/>
      <w:r w:rsidR="00737F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7F4D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737F4D">
        <w:rPr>
          <w:rFonts w:ascii="Times New Roman" w:hAnsi="Times New Roman" w:cs="Times New Roman"/>
          <w:b/>
          <w:sz w:val="24"/>
          <w:szCs w:val="24"/>
        </w:rPr>
        <w:t xml:space="preserve"> de ………</w:t>
      </w:r>
    </w:p>
    <w:p w:rsidR="00737F4D" w:rsidRDefault="00737F4D" w:rsidP="00737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4D" w:rsidRDefault="00737F4D" w:rsidP="00CF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B58" w:rsidRPr="00CF1B58" w:rsidRDefault="00CF1B58" w:rsidP="00CF1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B58" w:rsidRPr="00485C97" w:rsidRDefault="00CF1B58" w:rsidP="00CF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Expertul completează, semn</w:t>
      </w:r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>ează şi datează Fişa de verificare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</w:t>
      </w:r>
      <w:r w:rsidR="003B34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de selecţie </w:t>
      </w: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 punctajul total acordat. </w:t>
      </w:r>
    </w:p>
    <w:p w:rsidR="00CF1B58" w:rsidRDefault="00CF1B58" w:rsidP="007D3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85C97">
        <w:rPr>
          <w:rFonts w:ascii="Times New Roman" w:eastAsia="Times New Roman" w:hAnsi="Times New Roman" w:cs="Times New Roman"/>
          <w:sz w:val="24"/>
          <w:szCs w:val="24"/>
          <w:lang w:val="ro-RO"/>
        </w:rPr>
        <w:t>Dacă există divergenţe între expert şi persoana care verifică munca expertului, acestea sunt mediate /rezolvate de şeful ierarhic superior, care îşi consemnează decizia sub semnătură.</w:t>
      </w:r>
    </w:p>
    <w:p w:rsidR="00737F4D" w:rsidRPr="007D3557" w:rsidRDefault="00737F4D" w:rsidP="007D35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85B81" w:rsidRDefault="00985B81" w:rsidP="005851C3">
      <w:pPr>
        <w:spacing w:after="0"/>
        <w:rPr>
          <w:rFonts w:ascii="Calibri" w:hAnsi="Calibri" w:cs="Calibri"/>
          <w:b/>
          <w:lang w:val="ro-RO"/>
        </w:rPr>
      </w:pP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2E74F" wp14:editId="57C06D3B">
                <wp:simplePos x="0" y="0"/>
                <wp:positionH relativeFrom="column">
                  <wp:posOffset>5363210</wp:posOffset>
                </wp:positionH>
                <wp:positionV relativeFrom="paragraph">
                  <wp:posOffset>11430</wp:posOffset>
                </wp:positionV>
                <wp:extent cx="1247775" cy="876300"/>
                <wp:effectExtent l="10160" t="1143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A24" w:rsidRPr="00CF1758" w:rsidRDefault="00B03A24" w:rsidP="00B03A2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CF1758">
                              <w:rPr>
                                <w:rFonts w:ascii="Trebuchet MS" w:eastAsia="Times New Roman" w:hAnsi="Trebuchet MS"/>
                                <w:bCs/>
                                <w:i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2.3pt;margin-top:.9pt;width:98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MMfwIAAAgF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" filled="f">
                <v:textbox>
                  <w:txbxContent>
                    <w:p w:rsidR="00B03A24" w:rsidRPr="00CF1758" w:rsidRDefault="00B03A24" w:rsidP="00B03A2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CF1758">
                        <w:rPr>
                          <w:rFonts w:ascii="Trebuchet MS" w:eastAsia="Times New Roman" w:hAnsi="Trebuchet MS"/>
                          <w:bCs/>
                          <w:i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Aprobat de: Manager Asociația Grup de Acțiune Locală Gal Tovishat                     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 _____________________</w:t>
      </w:r>
    </w:p>
    <w:p w:rsidR="00B03A24" w:rsidRPr="00737F4D" w:rsidRDefault="00737F4D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Semnătura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softHyphen/>
        <w:t>____________________</w:t>
      </w:r>
    </w:p>
    <w:p w:rsidR="00B03A24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DATA___/_____/____________</w:t>
      </w:r>
    </w:p>
    <w:p w:rsidR="00737F4D" w:rsidRPr="0000786E" w:rsidRDefault="00737F4D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Verificat de: </w:t>
      </w:r>
      <w:r w:rsidR="00CF1B58">
        <w:rPr>
          <w:rFonts w:ascii="Times New Roman" w:hAnsi="Times New Roman" w:cs="Times New Roman"/>
          <w:b/>
          <w:sz w:val="24"/>
          <w:szCs w:val="24"/>
          <w:lang w:val="ro-RO"/>
        </w:rPr>
        <w:t>Expert 2</w: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Asociația Grup de Acțiune Locală Gal Tovishat                     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Nume/Prenume______________________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DATA_____/____/__________________</w:t>
      </w:r>
    </w:p>
    <w:p w:rsidR="0000786E" w:rsidRPr="0000786E" w:rsidRDefault="0000786E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03A24" w:rsidRPr="0000786E" w:rsidRDefault="00CF1B58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 de: Expert 1 </w:t>
      </w:r>
      <w:r w:rsidR="00B03A24"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Asociația </w:t>
      </w:r>
      <w:r w:rsidR="0000786E" w:rsidRPr="000078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Grup de Acțiune Locală Gal Tovishat                     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DATA____/____/___________________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B5EBB" wp14:editId="76DDEDCB">
                <wp:simplePos x="0" y="0"/>
                <wp:positionH relativeFrom="column">
                  <wp:posOffset>4705350</wp:posOffset>
                </wp:positionH>
                <wp:positionV relativeFrom="paragraph">
                  <wp:posOffset>198120</wp:posOffset>
                </wp:positionV>
                <wp:extent cx="1632585" cy="889000"/>
                <wp:effectExtent l="9525" t="762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A24" w:rsidRPr="0052390A" w:rsidRDefault="00B03A24" w:rsidP="00B03A24">
                            <w:pPr>
                              <w:jc w:val="center"/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</w:pPr>
                            <w:proofErr w:type="spell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Ştampila</w:t>
                            </w:r>
                            <w:proofErr w:type="spellEnd"/>
                          </w:p>
                          <w:p w:rsidR="00B03A24" w:rsidRPr="0052390A" w:rsidRDefault="00B03A24" w:rsidP="00B03A24">
                            <w:pPr>
                              <w:jc w:val="center"/>
                              <w:rPr>
                                <w:rFonts w:ascii="Trebuchet MS" w:hAnsi="Trebuchet MS"/>
                                <w:lang w:val="fr-FR"/>
                              </w:rPr>
                            </w:pPr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numai</w:t>
                            </w:r>
                            <w:proofErr w:type="spellEnd"/>
                            <w:proofErr w:type="gramEnd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beneficiari</w:t>
                            </w:r>
                            <w:proofErr w:type="spellEnd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publici</w:t>
                            </w:r>
                            <w:proofErr w:type="spellEnd"/>
                            <w:r w:rsidRPr="0052390A">
                              <w:rPr>
                                <w:rFonts w:ascii="Trebuchet MS" w:eastAsia="Times New Roman" w:hAnsi="Trebuchet MS"/>
                                <w:bCs/>
                                <w:i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70.5pt;margin-top:15.6pt;width:128.55pt;height: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lgQIAAA8F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" filled="f">
                <v:textbox>
                  <w:txbxContent>
                    <w:p w:rsidR="00B03A24" w:rsidRPr="0052390A" w:rsidRDefault="00B03A24" w:rsidP="00B03A24">
                      <w:pPr>
                        <w:jc w:val="center"/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</w:pPr>
                      <w:proofErr w:type="spell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Ştampila</w:t>
                      </w:r>
                      <w:proofErr w:type="spellEnd"/>
                    </w:p>
                    <w:p w:rsidR="00B03A24" w:rsidRPr="0052390A" w:rsidRDefault="00B03A24" w:rsidP="00B03A24">
                      <w:pPr>
                        <w:jc w:val="center"/>
                        <w:rPr>
                          <w:rFonts w:ascii="Trebuchet MS" w:hAnsi="Trebuchet MS"/>
                          <w:lang w:val="fr-FR"/>
                        </w:rPr>
                      </w:pPr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(</w:t>
                      </w:r>
                      <w:proofErr w:type="spellStart"/>
                      <w:proofErr w:type="gram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numai</w:t>
                      </w:r>
                      <w:proofErr w:type="spellEnd"/>
                      <w:proofErr w:type="gramEnd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pentru</w:t>
                      </w:r>
                      <w:proofErr w:type="spellEnd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beneficiari</w:t>
                      </w:r>
                      <w:proofErr w:type="spellEnd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publici</w:t>
                      </w:r>
                      <w:proofErr w:type="spellEnd"/>
                      <w:r w:rsidRPr="0052390A">
                        <w:rPr>
                          <w:rFonts w:ascii="Trebuchet MS" w:eastAsia="Times New Roman" w:hAnsi="Trebuchet MS"/>
                          <w:bCs/>
                          <w:i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Am luat la cunoștință,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sz w:val="24"/>
          <w:szCs w:val="24"/>
          <w:lang w:val="ro-RO"/>
        </w:rPr>
        <w:t>Reprezentant legal al solicitantului:</w:t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Nume/Prenume____________________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B03A24" w:rsidRPr="0000786E" w:rsidRDefault="00B03A24" w:rsidP="00985B8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Semnătura________________________</w:t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737F4D" w:rsidRPr="00A938AC" w:rsidRDefault="00B03A24" w:rsidP="00A938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00786E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A938AC">
        <w:rPr>
          <w:rFonts w:ascii="Times New Roman" w:hAnsi="Times New Roman" w:cs="Times New Roman"/>
          <w:b/>
          <w:i/>
          <w:sz w:val="24"/>
          <w:szCs w:val="24"/>
          <w:lang w:val="ro-RO"/>
        </w:rPr>
        <w:t>ATA____/____/_________________</w:t>
      </w:r>
    </w:p>
    <w:p w:rsidR="007D3557" w:rsidRPr="007D3557" w:rsidRDefault="007D3557" w:rsidP="007D35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7D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lastRenderedPageBreak/>
        <w:t>Metodologie de aplicat pentru evaluarea criteriilor de selecţie</w:t>
      </w:r>
      <w:r w:rsidR="00A9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M 7.8</w:t>
      </w:r>
    </w:p>
    <w:p w:rsidR="007D3557" w:rsidRDefault="007D3557" w:rsidP="00985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D3557" w:rsidRDefault="007D3557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185C" w:rsidRPr="00E6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85C" w:rsidRPr="00A938AC">
        <w:rPr>
          <w:rFonts w:ascii="Times New Roman" w:hAnsi="Times New Roman" w:cs="Times New Roman"/>
          <w:b/>
          <w:sz w:val="24"/>
          <w:szCs w:val="24"/>
        </w:rPr>
        <w:t>Principiul</w:t>
      </w:r>
      <w:proofErr w:type="spellEnd"/>
      <w:r w:rsidR="00E6185C" w:rsidRPr="00A9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85C" w:rsidRPr="00A938AC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="00E6185C" w:rsidRPr="00A938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6185C" w:rsidRPr="00A938AC">
        <w:rPr>
          <w:rFonts w:ascii="Times New Roman" w:hAnsi="Times New Roman" w:cs="Times New Roman"/>
          <w:b/>
          <w:sz w:val="24"/>
          <w:szCs w:val="24"/>
        </w:rPr>
        <w:t>acoperire</w:t>
      </w:r>
      <w:proofErr w:type="spellEnd"/>
      <w:r w:rsidR="00E6185C" w:rsidRPr="00A938A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6185C" w:rsidRPr="00A938AC">
        <w:rPr>
          <w:rFonts w:ascii="Times New Roman" w:hAnsi="Times New Roman" w:cs="Times New Roman"/>
          <w:b/>
          <w:sz w:val="24"/>
          <w:szCs w:val="24"/>
        </w:rPr>
        <w:t>populaţiei</w:t>
      </w:r>
      <w:proofErr w:type="spellEnd"/>
      <w:r w:rsidR="00E6185C" w:rsidRPr="00A9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85C" w:rsidRPr="00A938AC">
        <w:rPr>
          <w:rFonts w:ascii="Times New Roman" w:hAnsi="Times New Roman" w:cs="Times New Roman"/>
          <w:b/>
          <w:sz w:val="24"/>
          <w:szCs w:val="24"/>
        </w:rPr>
        <w:t>deservite</w:t>
      </w:r>
      <w:proofErr w:type="spellEnd"/>
      <w:r w:rsidR="00E6185C" w:rsidRPr="00A938A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6185C" w:rsidRPr="00A938AC">
        <w:rPr>
          <w:rFonts w:ascii="Times New Roman" w:hAnsi="Times New Roman" w:cs="Times New Roman"/>
          <w:b/>
          <w:sz w:val="24"/>
          <w:szCs w:val="24"/>
        </w:rPr>
        <w:t>beneficiarilor</w:t>
      </w:r>
      <w:proofErr w:type="spellEnd"/>
    </w:p>
    <w:tbl>
      <w:tblPr>
        <w:tblW w:w="105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4"/>
        <w:gridCol w:w="6480"/>
      </w:tblGrid>
      <w:tr w:rsidR="00A93B2E" w:rsidRPr="004645C6" w:rsidTr="00A93B2E">
        <w:trPr>
          <w:trHeight w:val="607"/>
        </w:trPr>
        <w:tc>
          <w:tcPr>
            <w:tcW w:w="4064" w:type="dxa"/>
            <w:shd w:val="clear" w:color="auto" w:fill="00B0F0"/>
          </w:tcPr>
          <w:p w:rsidR="00A93B2E" w:rsidRPr="004645C6" w:rsidRDefault="00A93B2E" w:rsidP="001509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480" w:type="dxa"/>
            <w:shd w:val="clear" w:color="auto" w:fill="00B0F0"/>
          </w:tcPr>
          <w:p w:rsidR="00A93B2E" w:rsidRPr="004645C6" w:rsidRDefault="00A93B2E" w:rsidP="001509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fr-FR"/>
              </w:rPr>
              <w:t>VERIFICAT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A93B2E" w:rsidRPr="004645C6" w:rsidTr="00E6185C">
        <w:trPr>
          <w:trHeight w:val="3480"/>
        </w:trPr>
        <w:tc>
          <w:tcPr>
            <w:tcW w:w="4064" w:type="dxa"/>
            <w:shd w:val="clear" w:color="auto" w:fill="auto"/>
          </w:tcPr>
          <w:p w:rsidR="00E6185C" w:rsidRDefault="00E6185C" w:rsidP="00E6185C">
            <w:pPr>
              <w:pStyle w:val="Default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8AC">
              <w:rPr>
                <w:rFonts w:ascii="Times New Roman" w:hAnsi="Times New Roman" w:cs="Times New Roman"/>
              </w:rPr>
              <w:t>Populație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netă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beneficiază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</w:rPr>
              <w:t>servicii</w:t>
            </w:r>
            <w:proofErr w:type="spellEnd"/>
            <w:r w:rsidRPr="00A938AC">
              <w:rPr>
                <w:rFonts w:ascii="Times New Roman" w:hAnsi="Times New Roman" w:cs="Times New Roman"/>
              </w:rPr>
              <w:t>/</w:t>
            </w:r>
            <w:proofErr w:type="spellStart"/>
            <w:r w:rsidRPr="00A938AC">
              <w:rPr>
                <w:rFonts w:ascii="Times New Roman" w:hAnsi="Times New Roman" w:cs="Times New Roman"/>
              </w:rPr>
              <w:t>infrastructuri</w:t>
            </w:r>
            <w:proofErr w:type="spellEnd"/>
            <w:r w:rsidRPr="00A9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</w:rPr>
              <w:t>îmbunătățite</w:t>
            </w:r>
            <w:proofErr w:type="spellEnd"/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6185C" w:rsidRDefault="00E6185C" w:rsidP="00E618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93B2E" w:rsidRPr="004645C6" w:rsidRDefault="00A93B2E" w:rsidP="00E618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  <w:shd w:val="clear" w:color="auto" w:fill="auto"/>
          </w:tcPr>
          <w:p w:rsidR="00E6185C" w:rsidRPr="00E6185C" w:rsidRDefault="00E6185C" w:rsidP="00E618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calcul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beneficia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deservire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țintă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93B2E" w:rsidRPr="00A93B2E" w:rsidRDefault="00E6185C" w:rsidP="00E61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verificate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Memoriu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justificativ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beneficia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deservire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fie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grupul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țintă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fundamentat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demonstrat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(SF)  cu date,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verificabile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(e.g.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recensământ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menţionându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85C" w:rsidRPr="004645C6" w:rsidTr="00A93B2E">
        <w:trPr>
          <w:trHeight w:val="750"/>
        </w:trPr>
        <w:tc>
          <w:tcPr>
            <w:tcW w:w="4064" w:type="dxa"/>
            <w:shd w:val="clear" w:color="auto" w:fill="auto"/>
          </w:tcPr>
          <w:p w:rsidR="00E6185C" w:rsidRPr="00A938AC" w:rsidRDefault="00E6185C" w:rsidP="00E618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acoperire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beneficiarilor</w:t>
            </w:r>
            <w:proofErr w:type="spellEnd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8AC">
              <w:rPr>
                <w:rFonts w:ascii="Times New Roman" w:hAnsi="Times New Roman" w:cs="Times New Roman"/>
                <w:sz w:val="24"/>
                <w:szCs w:val="24"/>
              </w:rPr>
              <w:t>indirecţi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E6185C" w:rsidRPr="00E6185C" w:rsidRDefault="00E6185C" w:rsidP="00E618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locuitori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UAT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implementa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</w:p>
          <w:p w:rsidR="00E6185C" w:rsidRPr="00E6185C" w:rsidRDefault="00E6185C" w:rsidP="00E61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Numărul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total al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populaţiei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UAT -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ului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raza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căruia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realiza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investiţia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conform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Rezultatului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final al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recensământului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populaţiei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şi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locuinţelor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anul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2011 </w:t>
            </w:r>
            <w:r w:rsidRPr="00E6185C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‐</w:t>
            </w:r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Tabelul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nr.3 „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Populaţia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stabilă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sexe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şi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grupe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vârstă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185C">
              <w:rPr>
                <w:rFonts w:ascii="Cambria Math" w:hAnsi="Cambria Math" w:cs="Cambria Math"/>
                <w:i/>
                <w:iCs/>
                <w:sz w:val="24"/>
                <w:szCs w:val="24"/>
              </w:rPr>
              <w:t>‐</w:t>
            </w:r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judeţe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municipii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oraşe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comune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”, (se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consulta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nr.1), </w:t>
            </w:r>
            <w:proofErr w:type="spellStart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Anexa</w:t>
            </w:r>
            <w:proofErr w:type="spellEnd"/>
            <w:r w:rsidRPr="00E61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</w:tr>
    </w:tbl>
    <w:p w:rsidR="00A93B2E" w:rsidRDefault="00A93B2E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5C" w:rsidRPr="00E6185C" w:rsidRDefault="003B34D0" w:rsidP="00E618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6185C" w:rsidRPr="00E6185C">
        <w:t xml:space="preserve"> </w:t>
      </w:r>
      <w:proofErr w:type="spellStart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>Principiul</w:t>
      </w:r>
      <w:proofErr w:type="spellEnd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>prioritizării</w:t>
      </w:r>
      <w:proofErr w:type="spellEnd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>investiţiilor</w:t>
      </w:r>
      <w:proofErr w:type="spellEnd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185C" w:rsidRPr="00E6185C">
        <w:rPr>
          <w:rFonts w:ascii="Times New Roman" w:hAnsi="Times New Roman" w:cs="Times New Roman"/>
          <w:b/>
          <w:bCs/>
          <w:sz w:val="24"/>
          <w:szCs w:val="24"/>
        </w:rPr>
        <w:t>destinat</w:t>
      </w:r>
      <w:r w:rsidR="00E6185C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E6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185C">
        <w:rPr>
          <w:rFonts w:ascii="Times New Roman" w:hAnsi="Times New Roman" w:cs="Times New Roman"/>
          <w:b/>
          <w:bCs/>
          <w:sz w:val="24"/>
          <w:szCs w:val="24"/>
        </w:rPr>
        <w:t>integrării</w:t>
      </w:r>
      <w:proofErr w:type="spellEnd"/>
      <w:r w:rsidR="00E6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185C">
        <w:rPr>
          <w:rFonts w:ascii="Times New Roman" w:hAnsi="Times New Roman" w:cs="Times New Roman"/>
          <w:b/>
          <w:bCs/>
          <w:sz w:val="24"/>
          <w:szCs w:val="24"/>
        </w:rPr>
        <w:t>minorităţilor</w:t>
      </w:r>
      <w:proofErr w:type="spellEnd"/>
      <w:r w:rsidR="00E6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E6185C">
        <w:rPr>
          <w:rFonts w:ascii="Times New Roman" w:hAnsi="Times New Roman" w:cs="Times New Roman"/>
          <w:b/>
          <w:bCs/>
          <w:sz w:val="24"/>
          <w:szCs w:val="24"/>
        </w:rPr>
        <w:t>rome</w:t>
      </w:r>
      <w:proofErr w:type="spellEnd"/>
      <w:proofErr w:type="gramEnd"/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80"/>
      </w:tblGrid>
      <w:tr w:rsidR="004645C6" w:rsidRPr="004645C6" w:rsidTr="00773A42">
        <w:trPr>
          <w:trHeight w:val="607"/>
        </w:trPr>
        <w:tc>
          <w:tcPr>
            <w:tcW w:w="4050" w:type="dxa"/>
            <w:shd w:val="clear" w:color="auto" w:fill="00B0F0"/>
          </w:tcPr>
          <w:p w:rsidR="004645C6" w:rsidRPr="004645C6" w:rsidRDefault="004645C6" w:rsidP="00773A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480" w:type="dxa"/>
            <w:shd w:val="clear" w:color="auto" w:fill="00B0F0"/>
          </w:tcPr>
          <w:p w:rsidR="004645C6" w:rsidRPr="004645C6" w:rsidRDefault="004645C6" w:rsidP="00773A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fr-FR"/>
              </w:rPr>
              <w:t>VERIFICAT</w:t>
            </w:r>
            <w:r w:rsidRPr="00464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ÎN CADRUL DOCUMENTELOR  PREZENTATE</w:t>
            </w:r>
          </w:p>
        </w:tc>
      </w:tr>
      <w:tr w:rsidR="004645C6" w:rsidRPr="004645C6" w:rsidTr="00773A42">
        <w:tc>
          <w:tcPr>
            <w:tcW w:w="4050" w:type="dxa"/>
            <w:shd w:val="clear" w:color="auto" w:fill="auto"/>
          </w:tcPr>
          <w:p w:rsidR="004645C6" w:rsidRDefault="00E6185C" w:rsidP="004645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 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Proiectul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adresează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UAT-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urilor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pondere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mare de 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populaţie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etnie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romă</w:t>
            </w:r>
            <w:proofErr w:type="spellEnd"/>
            <w:r w:rsidRPr="00E6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5293" w:rsidRDefault="006F5293" w:rsidP="004645C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F5293">
              <w:rPr>
                <w:rFonts w:ascii="Times New Roman" w:hAnsi="Times New Roman" w:cs="Times New Roman"/>
                <w:bCs/>
                <w:sz w:val="24"/>
                <w:szCs w:val="24"/>
              </w:rPr>
              <w:t>Anexa</w:t>
            </w:r>
            <w:proofErr w:type="spellEnd"/>
            <w:r w:rsidRPr="006F5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6F52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6F52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Ponderea populaţiei de etnie romă din teritoriul GAL Tovishat</w:t>
            </w:r>
            <w:r w:rsidRPr="006F5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F5293" w:rsidRPr="006F5293" w:rsidRDefault="006F5293" w:rsidP="0046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Memoriu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justificativ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E6185C" w:rsidRPr="00E6185C" w:rsidRDefault="00E6185C" w:rsidP="00E618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adresează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comunităţilor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pondere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mare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populaţie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etnie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romă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85C" w:rsidRPr="00E6185C" w:rsidRDefault="00E6185C" w:rsidP="00E618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consideră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procentul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populaţia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romă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UAT-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implementa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42D" w:rsidRDefault="00E6185C" w:rsidP="00E6185C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Procentul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populaţiei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rome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din</w:t>
            </w:r>
            <w:proofErr w:type="gram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UAT -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ul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raza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căruia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va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realiza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investiţia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>este</w:t>
            </w:r>
            <w:proofErr w:type="spellEnd"/>
            <w:r w:rsidRPr="00E6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conform</w:t>
            </w: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5C">
              <w:rPr>
                <w:rFonts w:ascii="Times New Roman" w:hAnsi="Times New Roman" w:cs="Times New Roman"/>
                <w:i/>
                <w:sz w:val="24"/>
                <w:szCs w:val="24"/>
              </w:rPr>
              <w:t>Anexei</w:t>
            </w:r>
            <w:proofErr w:type="spellEnd"/>
            <w:r w:rsidRPr="00E6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 – </w:t>
            </w:r>
            <w:r w:rsidRPr="00E6185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Ponderea populaţiei de etnie romă din teritoriul GAL Tovishat</w:t>
            </w:r>
            <w:r w:rsidRPr="00E618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6F5293" w:rsidRPr="006F5293" w:rsidRDefault="006F5293" w:rsidP="00E61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SF/</w:t>
            </w:r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MJ 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actele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dovedesc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293">
              <w:rPr>
                <w:rFonts w:ascii="Times New Roman" w:hAnsi="Times New Roman" w:cs="Times New Roman"/>
                <w:sz w:val="24"/>
                <w:szCs w:val="24"/>
              </w:rPr>
              <w:t>investiţiei</w:t>
            </w:r>
            <w:proofErr w:type="spellEnd"/>
          </w:p>
        </w:tc>
      </w:tr>
    </w:tbl>
    <w:p w:rsidR="006F5293" w:rsidRPr="00E6185C" w:rsidRDefault="006F5293" w:rsidP="003B3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B34D0" w:rsidRDefault="003B34D0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F5293" w:rsidRPr="006F5293">
        <w:t xml:space="preserve">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Principiul</w:t>
      </w:r>
      <w:proofErr w:type="spellEnd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stimulării</w:t>
      </w:r>
      <w:proofErr w:type="spellEnd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parteneriatelor</w:t>
      </w:r>
      <w:proofErr w:type="spellEnd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293" w:rsidRPr="006F5293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</w:p>
    <w:tbl>
      <w:tblPr>
        <w:tblW w:w="106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5"/>
      </w:tblGrid>
      <w:tr w:rsidR="008D6D90" w:rsidRPr="0065742D" w:rsidTr="00942ABF">
        <w:tc>
          <w:tcPr>
            <w:tcW w:w="3119" w:type="dxa"/>
            <w:shd w:val="clear" w:color="auto" w:fill="00B0F0"/>
          </w:tcPr>
          <w:p w:rsidR="008D6D90" w:rsidRPr="0065742D" w:rsidRDefault="008D6D90" w:rsidP="001509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65742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515" w:type="dxa"/>
            <w:shd w:val="clear" w:color="auto" w:fill="00B0F0"/>
          </w:tcPr>
          <w:p w:rsidR="0065742D" w:rsidRDefault="008D6D90" w:rsidP="0065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PUNCTE DE VERIFICAT ÎN CADRUL </w:t>
            </w:r>
          </w:p>
          <w:p w:rsidR="008D6D90" w:rsidRPr="0065742D" w:rsidRDefault="008D6D90" w:rsidP="0065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5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DOCUMENTELOR  PREZENTATE</w:t>
            </w:r>
          </w:p>
        </w:tc>
      </w:tr>
      <w:tr w:rsidR="008D6D90" w:rsidRPr="0065742D" w:rsidTr="00942ABF">
        <w:tc>
          <w:tcPr>
            <w:tcW w:w="3119" w:type="dxa"/>
          </w:tcPr>
          <w:p w:rsidR="008D6D90" w:rsidRDefault="006F5293" w:rsidP="006F5293">
            <w:pPr>
              <w:keepNext/>
              <w:spacing w:after="6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2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3.1 Proiectul este implementat de un parteneriat care cuprinde cel puţin o organizaţie non-guvernamentală care reprezintă intereselele unei minorităţi locale existente la nivelul teritoriului Leader Gal Tovishat </w:t>
            </w:r>
          </w:p>
          <w:p w:rsidR="006F5293" w:rsidRPr="0065742D" w:rsidRDefault="006F5293" w:rsidP="006F5293">
            <w:pPr>
              <w:keepNext/>
              <w:spacing w:after="6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6F5293">
              <w:rPr>
                <w:rFonts w:ascii="Times New Roman" w:hAnsi="Times New Roman" w:cs="Times New Roman"/>
                <w:lang w:val="ro-RO"/>
              </w:rPr>
              <w:t>ctului constitutiv al ONG</w:t>
            </w:r>
          </w:p>
        </w:tc>
        <w:tc>
          <w:tcPr>
            <w:tcW w:w="7515" w:type="dxa"/>
          </w:tcPr>
          <w:p w:rsidR="006F5293" w:rsidRPr="006F5293" w:rsidRDefault="006F5293" w:rsidP="006F5293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6F5293">
              <w:rPr>
                <w:rFonts w:ascii="Times New Roman" w:hAnsi="Times New Roman" w:cs="Times New Roman"/>
                <w:lang w:val="ro-RO"/>
              </w:rPr>
              <w:t>Punctajul se acordă în funcție de structura partener</w:t>
            </w:r>
            <w:r>
              <w:rPr>
                <w:rFonts w:ascii="Times New Roman" w:hAnsi="Times New Roman" w:cs="Times New Roman"/>
                <w:lang w:val="ro-RO"/>
              </w:rPr>
              <w:t>iatului care solicită finanțare.</w:t>
            </w:r>
          </w:p>
          <w:p w:rsidR="006F5293" w:rsidRPr="006F5293" w:rsidRDefault="006F5293" w:rsidP="006F5293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6F5293">
              <w:rPr>
                <w:rFonts w:ascii="Times New Roman" w:hAnsi="Times New Roman" w:cs="Times New Roman"/>
                <w:lang w:val="ro-RO"/>
              </w:rPr>
              <w:t xml:space="preserve">Informaţia se preia din acordul de parteneriat. Criteriul se consideră îndeplinit dacă  parteneriatul cuprinde cel puţin o organizaţie care reprezintă interesele unei minorităţi locale  cu sediul /sediul secundar /sucursala/filiala în teritoriul acoperit de Gal Tovishat constituită juridic anterior lansării apelului de selecţie. </w:t>
            </w:r>
          </w:p>
          <w:p w:rsidR="00A73745" w:rsidRPr="00A73745" w:rsidRDefault="006F5293" w:rsidP="006F52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Informaţia se verifică pe baza A</w:t>
            </w:r>
            <w:r w:rsidRPr="006F5293">
              <w:rPr>
                <w:rFonts w:ascii="Times New Roman" w:hAnsi="Times New Roman" w:cs="Times New Roman"/>
                <w:lang w:val="ro-RO"/>
              </w:rPr>
              <w:t>ctului constitutiv al ONG-ului.</w:t>
            </w:r>
            <w:r w:rsidR="00A73745">
              <w:rPr>
                <w:rFonts w:ascii="Times New Roman" w:hAnsi="Times New Roman" w:cs="Times New Roman"/>
              </w:rPr>
              <w:t>.</w:t>
            </w:r>
          </w:p>
        </w:tc>
      </w:tr>
    </w:tbl>
    <w:p w:rsidR="003B34D0" w:rsidRDefault="003B34D0" w:rsidP="003B3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34D0" w:rsidSect="00737F4D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17" w:rsidRDefault="00FD1517" w:rsidP="001D2B3D">
      <w:pPr>
        <w:spacing w:after="0" w:line="240" w:lineRule="auto"/>
      </w:pPr>
      <w:r>
        <w:separator/>
      </w:r>
    </w:p>
  </w:endnote>
  <w:endnote w:type="continuationSeparator" w:id="0">
    <w:p w:rsidR="00FD1517" w:rsidRDefault="00FD1517" w:rsidP="001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3D" w:rsidRDefault="001D2B3D" w:rsidP="001D2B3D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Asociația Grup de Acțiune Locală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</w:t>
    </w:r>
    <w:r w:rsidR="006F5293">
      <w:rPr>
        <w:rFonts w:ascii="Times New Roman" w:hAnsi="Times New Roman"/>
        <w:sz w:val="20"/>
        <w:szCs w:val="20"/>
        <w:lang w:val="pt-BR"/>
      </w:rPr>
      <w:t>, Comuna Şamşud, Tel: 0768.607.807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p w:rsidR="001D2B3D" w:rsidRDefault="001D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17" w:rsidRDefault="00FD1517" w:rsidP="001D2B3D">
      <w:pPr>
        <w:spacing w:after="0" w:line="240" w:lineRule="auto"/>
      </w:pPr>
      <w:r>
        <w:separator/>
      </w:r>
    </w:p>
  </w:footnote>
  <w:footnote w:type="continuationSeparator" w:id="0">
    <w:p w:rsidR="00FD1517" w:rsidRDefault="00FD1517" w:rsidP="001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1" w:type="dxa"/>
      <w:jc w:val="center"/>
      <w:tblInd w:w="-640" w:type="dxa"/>
      <w:tblLook w:val="04A0" w:firstRow="1" w:lastRow="0" w:firstColumn="1" w:lastColumn="0" w:noHBand="0" w:noVBand="1"/>
    </w:tblPr>
    <w:tblGrid>
      <w:gridCol w:w="1781"/>
      <w:gridCol w:w="4669"/>
      <w:gridCol w:w="1931"/>
      <w:gridCol w:w="1345"/>
      <w:gridCol w:w="1345"/>
    </w:tblGrid>
    <w:tr w:rsidR="001D2B3D" w:rsidRPr="000B242A" w:rsidTr="00A938AC">
      <w:trPr>
        <w:trHeight w:val="1271"/>
        <w:jc w:val="center"/>
      </w:trPr>
      <w:tc>
        <w:tcPr>
          <w:tcW w:w="1781" w:type="dxa"/>
          <w:tcBorders>
            <w:bottom w:val="single" w:sz="4" w:space="0" w:color="auto"/>
          </w:tcBorders>
        </w:tcPr>
        <w:p w:rsidR="001D2B3D" w:rsidRPr="000B242A" w:rsidRDefault="001D2B3D" w:rsidP="00A938AC">
          <w:pPr>
            <w:jc w:val="center"/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DDB7075" wp14:editId="767612CA">
                <wp:extent cx="990600" cy="771525"/>
                <wp:effectExtent l="0" t="0" r="0" b="0"/>
                <wp:docPr id="137" name="Picture 137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tcBorders>
            <w:bottom w:val="single" w:sz="4" w:space="0" w:color="auto"/>
          </w:tcBorders>
        </w:tcPr>
        <w:p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ABBCADE" wp14:editId="01626751">
                <wp:extent cx="2819400" cy="723900"/>
                <wp:effectExtent l="0" t="0" r="0" b="0"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tcBorders>
            <w:bottom w:val="single" w:sz="4" w:space="0" w:color="auto"/>
          </w:tcBorders>
        </w:tcPr>
        <w:p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7223889" wp14:editId="36DFBCC2">
                <wp:extent cx="1085850" cy="771525"/>
                <wp:effectExtent l="0" t="0" r="0" b="0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0592D60" wp14:editId="382E9FFB">
                <wp:extent cx="714375" cy="714375"/>
                <wp:effectExtent l="0" t="0" r="0" b="0"/>
                <wp:docPr id="140" name="Picture 140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bottom w:val="single" w:sz="4" w:space="0" w:color="auto"/>
          </w:tcBorders>
        </w:tcPr>
        <w:p w:rsidR="001D2B3D" w:rsidRPr="000B242A" w:rsidRDefault="001D2B3D" w:rsidP="00442671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FBC2D6F" wp14:editId="2127DF95">
                <wp:extent cx="714375" cy="714375"/>
                <wp:effectExtent l="0" t="0" r="0" b="0"/>
                <wp:docPr id="141" name="Picture 141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B3D" w:rsidRDefault="001D2B3D" w:rsidP="001D2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319"/>
    <w:multiLevelType w:val="multilevel"/>
    <w:tmpl w:val="628E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6C2711"/>
    <w:multiLevelType w:val="hybridMultilevel"/>
    <w:tmpl w:val="8A64A136"/>
    <w:lvl w:ilvl="0" w:tplc="2B107D28">
      <w:start w:val="12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AE945C5"/>
    <w:multiLevelType w:val="multilevel"/>
    <w:tmpl w:val="A3CE8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562D0"/>
    <w:multiLevelType w:val="hybridMultilevel"/>
    <w:tmpl w:val="141CE038"/>
    <w:lvl w:ilvl="0" w:tplc="0DB0972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0F"/>
    <w:rsid w:val="0000786E"/>
    <w:rsid w:val="0005440B"/>
    <w:rsid w:val="000713CA"/>
    <w:rsid w:val="00115BDA"/>
    <w:rsid w:val="0012157B"/>
    <w:rsid w:val="00174E73"/>
    <w:rsid w:val="001D2B3D"/>
    <w:rsid w:val="001F702C"/>
    <w:rsid w:val="002236C8"/>
    <w:rsid w:val="00236E7C"/>
    <w:rsid w:val="002F3620"/>
    <w:rsid w:val="003953C2"/>
    <w:rsid w:val="003B34D0"/>
    <w:rsid w:val="0045160F"/>
    <w:rsid w:val="004645C6"/>
    <w:rsid w:val="00485C97"/>
    <w:rsid w:val="00580730"/>
    <w:rsid w:val="005826DC"/>
    <w:rsid w:val="005851C3"/>
    <w:rsid w:val="0065742D"/>
    <w:rsid w:val="006A387A"/>
    <w:rsid w:val="006C0C6B"/>
    <w:rsid w:val="006F1366"/>
    <w:rsid w:val="006F5293"/>
    <w:rsid w:val="00703468"/>
    <w:rsid w:val="00737F4D"/>
    <w:rsid w:val="00766DDC"/>
    <w:rsid w:val="00797A29"/>
    <w:rsid w:val="007D3557"/>
    <w:rsid w:val="00842B60"/>
    <w:rsid w:val="00842D05"/>
    <w:rsid w:val="008B3C91"/>
    <w:rsid w:val="008C0F96"/>
    <w:rsid w:val="008D6D90"/>
    <w:rsid w:val="00942ABF"/>
    <w:rsid w:val="009437B1"/>
    <w:rsid w:val="00985B81"/>
    <w:rsid w:val="009B4A90"/>
    <w:rsid w:val="009E4C6F"/>
    <w:rsid w:val="00A73745"/>
    <w:rsid w:val="00A938AC"/>
    <w:rsid w:val="00A93B2E"/>
    <w:rsid w:val="00B03A24"/>
    <w:rsid w:val="00B9390C"/>
    <w:rsid w:val="00C42606"/>
    <w:rsid w:val="00C90F0C"/>
    <w:rsid w:val="00CD654C"/>
    <w:rsid w:val="00CF1B58"/>
    <w:rsid w:val="00D50D45"/>
    <w:rsid w:val="00DA6883"/>
    <w:rsid w:val="00E6185C"/>
    <w:rsid w:val="00EF5E50"/>
    <w:rsid w:val="00F37160"/>
    <w:rsid w:val="00FB3F09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45160F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45160F"/>
    <w:rPr>
      <w:rFonts w:ascii="Trebuchet MS" w:eastAsiaTheme="minorEastAsia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5160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451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45160F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236E7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3D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2B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B3D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6C0C6B"/>
    <w:rPr>
      <w:rFonts w:eastAsiaTheme="minorEastAsia"/>
    </w:rPr>
  </w:style>
  <w:style w:type="character" w:styleId="FootnoteReference">
    <w:name w:val="footnote reference"/>
    <w:aliases w:val="Footnote,Footnote symbol,Fussnota,ftref"/>
    <w:uiPriority w:val="99"/>
    <w:semiHidden/>
    <w:rsid w:val="0005440B"/>
    <w:rPr>
      <w:vertAlign w:val="superscript"/>
    </w:rPr>
  </w:style>
  <w:style w:type="paragraph" w:customStyle="1" w:styleId="Default">
    <w:name w:val="Default"/>
    <w:rsid w:val="002F3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5C97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45160F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45160F"/>
    <w:rPr>
      <w:rFonts w:ascii="Trebuchet MS" w:eastAsiaTheme="minorEastAsia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5160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451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45160F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236E7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3D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2B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B3D"/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6C0C6B"/>
    <w:rPr>
      <w:rFonts w:eastAsiaTheme="minorEastAsia"/>
    </w:rPr>
  </w:style>
  <w:style w:type="character" w:styleId="FootnoteReference">
    <w:name w:val="footnote reference"/>
    <w:aliases w:val="Footnote,Footnote symbol,Fussnota,ftref"/>
    <w:uiPriority w:val="99"/>
    <w:semiHidden/>
    <w:rsid w:val="0005440B"/>
    <w:rPr>
      <w:vertAlign w:val="superscript"/>
    </w:rPr>
  </w:style>
  <w:style w:type="paragraph" w:customStyle="1" w:styleId="Default">
    <w:name w:val="Default"/>
    <w:rsid w:val="002F3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5C97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Florin</cp:lastModifiedBy>
  <cp:revision>8</cp:revision>
  <dcterms:created xsi:type="dcterms:W3CDTF">2017-08-22T07:48:00Z</dcterms:created>
  <dcterms:modified xsi:type="dcterms:W3CDTF">2018-05-15T17:14:00Z</dcterms:modified>
</cp:coreProperties>
</file>